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RALLYBIO CORPORATION</w:t>
      </w:r>
    </w:p>
    <w:p>
      <w:pPr>
        <w:pStyle w:val="TextBody"/>
        <w:bidi w:val="0"/>
        <w:spacing w:lineRule="auto" w:line="288" w:before="60" w:after="283"/>
        <w:jc w:val="center"/>
        <w:rPr>
          <w:rFonts w:ascii="Times New Roman;serif" w:hAnsi="Times New Roman;serif"/>
          <w:b/>
          <w:color w:val="000000"/>
          <w:sz w:val="14"/>
        </w:rPr>
      </w:pPr>
      <w:r>
        <w:rPr>
          <w:rFonts w:ascii="Times New Roman;serif" w:hAnsi="Times New Roman;serif"/>
          <w:b/>
          <w:color w:val="000000"/>
          <w:sz w:val="14"/>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w:t>
      </w:r>
    </w:p>
    <w:tbl>
      <w:tblPr>
        <w:tblW w:w="6690" w:type="dxa"/>
        <w:jc w:val="left"/>
        <w:tblInd w:w="0" w:type="dxa"/>
        <w:tblLayout w:type="fixed"/>
        <w:tblCellMar>
          <w:top w:w="28" w:type="dxa"/>
          <w:left w:w="28" w:type="dxa"/>
          <w:bottom w:w="28" w:type="dxa"/>
          <w:right w:w="28" w:type="dxa"/>
        </w:tblCellMar>
      </w:tblPr>
      <w:tblGrid>
        <w:gridCol w:w="608"/>
        <w:gridCol w:w="534"/>
        <w:gridCol w:w="538"/>
        <w:gridCol w:w="1263"/>
        <w:gridCol w:w="1263"/>
        <w:gridCol w:w="1269"/>
        <w:gridCol w:w="355"/>
        <w:gridCol w:w="355"/>
        <w:gridCol w:w="505"/>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001-40693</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85-1083789</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(State or Other Jurisdiction</w:t>
              <w:br/>
              <w:t>of Incorporation)</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(Commission File Number)</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(IRS Employer</w:t>
              <w:br/>
              <w:t>Identification No.)</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234 Church Street,</w:t>
            </w:r>
            <w:r>
              <w:rPr>
                <w:color w:val="000000"/>
              </w:rPr>
              <w:t xml:space="preserve"> </w:t>
            </w:r>
            <w:r>
              <w:rPr>
                <w:rFonts w:ascii="Times New Roman;serif" w:hAnsi="Times New Roman;serif"/>
                <w:b/>
                <w:color w:val="000000"/>
                <w:sz w:val="20"/>
              </w:rPr>
              <w:t>New Haven, Connecticut</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06510</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(Zip Code)</w:t>
            </w:r>
          </w:p>
        </w:tc>
      </w:tr>
    </w:tbl>
    <w:p>
      <w:pPr>
        <w:pStyle w:val="TextBody"/>
        <w:bidi w:val="0"/>
        <w:spacing w:lineRule="auto" w:line="288" w:before="120" w:after="283"/>
        <w:jc w:val="center"/>
        <w:rPr/>
      </w:pPr>
      <w:r>
        <w:rPr>
          <w:rFonts w:ascii="Times New Roman;serif" w:hAnsi="Times New Roman;serif"/>
          <w:b/>
          <w:color w:val="000000"/>
          <w:sz w:val="20"/>
        </w:rPr>
        <w:t>Registrant’s Telephone Number, Including Area Code:</w:t>
      </w:r>
      <w:r>
        <w:rPr>
          <w:color w:val="000000"/>
        </w:rPr>
        <w:t xml:space="preserve"> </w:t>
      </w:r>
      <w:r>
        <w:rPr>
          <w:rFonts w:ascii="Times New Roman;serif" w:hAnsi="Times New Roman;serif"/>
          <w:b/>
          <w:color w:val="000000"/>
          <w:sz w:val="20"/>
        </w:rPr>
        <w:t>203</w:t>
      </w:r>
      <w:r>
        <w:rPr>
          <w:color w:val="000000"/>
        </w:rPr>
        <w:t xml:space="preserve"> </w:t>
      </w:r>
      <w:r>
        <w:rPr>
          <w:rFonts w:ascii="Times New Roman;serif" w:hAnsi="Times New Roman;serif"/>
          <w:b/>
          <w:color w:val="000000"/>
          <w:sz w:val="20"/>
        </w:rPr>
        <w:t>859-3820</w:t>
      </w:r>
    </w:p>
    <w:p>
      <w:pPr>
        <w:pStyle w:val="TextBody"/>
        <w:bidi w:val="0"/>
        <w:spacing w:lineRule="auto" w:line="288" w:before="240" w:after="283"/>
        <w:jc w:val="center"/>
        <w:rPr>
          <w:rFonts w:ascii="Times New Roman;serif" w:hAnsi="Times New Roman;serif"/>
          <w:b/>
          <w:color w:val="000000"/>
          <w:sz w:val="14"/>
        </w:rPr>
      </w:pPr>
      <w:r>
        <w:rPr>
          <w:rFonts w:ascii="Times New Roman;serif" w:hAnsi="Times New Roman;serif"/>
          <w:b/>
          <w:color w:val="000000"/>
          <w:sz w:val="14"/>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128" w:type="dxa"/>
        <w:jc w:val="left"/>
        <w:tblInd w:w="0" w:type="dxa"/>
        <w:tblLayout w:type="fixed"/>
        <w:tblCellMar>
          <w:top w:w="28" w:type="dxa"/>
          <w:left w:w="28" w:type="dxa"/>
          <w:bottom w:w="28" w:type="dxa"/>
          <w:right w:w="28" w:type="dxa"/>
        </w:tblCellMar>
      </w:tblPr>
      <w:tblGrid>
        <w:gridCol w:w="1339"/>
        <w:gridCol w:w="1176"/>
        <w:gridCol w:w="1190"/>
        <w:gridCol w:w="109"/>
        <w:gridCol w:w="109"/>
        <w:gridCol w:w="109"/>
        <w:gridCol w:w="314"/>
        <w:gridCol w:w="314"/>
        <w:gridCol w:w="31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RLYB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2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March 31, 2026, Rallybio Corporation (Rallybio) announced that Steven Ryder, M.D., who has served as Rallybio’s Chief Medical Officer since January 2019, will leave Rallybio effective immediately.</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 connection with Dr. Ryder’s separation, Rallybio and Dr. Ryder have entered into a separation agreement (the Separation Agreement) pursuant to which, among other things, Dr. Ryder will receive the severance payments and benefits to which he is entitled under his previously disclosed employment agreement with Rallybio (the Employment Agreement) upon a termination by Rallybio without cause (the Initial Severance Amounts).</w:t>
      </w:r>
      <w:r>
        <w:rPr>
          <w:color w:val="000000"/>
        </w:rPr>
        <w:t xml:space="preserve"> </w:t>
      </w:r>
      <w:r>
        <w:rPr>
          <w:rFonts w:ascii="Times New Roman;serif" w:hAnsi="Times New Roman;serif"/>
          <w:b w:val="false"/>
          <w:color w:val="000000"/>
          <w:sz w:val="20"/>
        </w:rPr>
        <w:t>In addition, upon the closing of Rallybio’s pending business combination with Candid Therapeutics, Inc. (Candid) pursuant to the Agreement and Plan of Merger and Reorganization, dated March 1, 2026, among Rallybio, Candid and a wholly-owned subsidiary of Rallybio (the Merger Agreement), Dr. Ryder will receive the severance payments and benefits to which he is entitled under the Employment Agreement upon a termination by Rallybio without cause following a change of control, less the Initial Severance Amounts paid to him. Any restricted stock, stock options and other equity or equity-based awards granted to Dr. Ryder by Rallybio will remain outstanding and eligible to vest in accordance with the terms of the Merger Agreement, remaining exercisable until ninety (90) days following the closing of the Merger.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description of the Separation Agreement does not purport to be complete and is subject to, and qualified in its entirety by, the complete text of the Separation Agreement, a copy of which Rallybio will file with its Quarterly Report on Form 10-Q for the quarter ended March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503"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134"/>
        <w:gridCol w:w="134"/>
        <w:gridCol w:w="136"/>
        <w:gridCol w:w="922"/>
        <w:gridCol w:w="922"/>
        <w:gridCol w:w="130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RALLYBIO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Jonathan I. Lieber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Jonathan I. Lieber</w:t>
              <w:br/>
              <w:t>Chief Financial Officer and Treasurer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3816</Characters>
  <CharactersWithSpaces>4400</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