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4980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094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Chung Wendy</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6"/>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Rallybio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RLYB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gridSpan w:val="6"/>
            <w:vMerge w:val="restart"/>
          </w:tcPr>
          <w:p>
            <w:pPr>
              <w:spacing w:after="0"/>
              <w:rPr>
                <w:sz w:val="20"/>
                <w:szCs w:val="20"/>
                <w:color w:val="auto"/>
              </w:rPr>
            </w:pPr>
            <w:r>
              <w:rPr>
                <w:rFonts w:ascii="Arial" w:cs="Arial" w:eastAsia="Arial" w:hAnsi="Arial"/>
                <w:sz w:val="13"/>
                <w:szCs w:val="13"/>
                <w:color w:val="auto"/>
              </w:rPr>
              <w:t>Foreign Trading Symbol</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3"/>
                <w:szCs w:val="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8"/>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8"/>
              </w:rPr>
              <w:t>C/O RALLYBIO CORPORATION</w:t>
            </w:r>
          </w:p>
        </w:tc>
        <w:tc>
          <w:tcPr>
            <w:tcW w:w="1140" w:type="dxa"/>
            <w:vAlign w:val="bottom"/>
          </w:tcPr>
          <w:p>
            <w:pPr>
              <w:spacing w:after="0"/>
              <w:rPr>
                <w:sz w:val="21"/>
                <w:szCs w:val="21"/>
                <w:color w:val="auto"/>
              </w:rPr>
            </w:pPr>
          </w:p>
        </w:tc>
        <w:tc>
          <w:tcPr>
            <w:tcW w:w="14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10/26/2026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PO BOX 325</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6"/>
                <w:szCs w:val="6"/>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260" w:type="dxa"/>
            <w:vAlign w:val="bottom"/>
          </w:tcPr>
          <w:p>
            <w:pPr>
              <w:spacing w:after="0"/>
              <w:rPr>
                <w:sz w:val="9"/>
                <w:szCs w:val="9"/>
                <w:color w:val="auto"/>
              </w:rPr>
            </w:pPr>
          </w:p>
        </w:tc>
        <w:tc>
          <w:tcPr>
            <w:tcW w:w="34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vMerge w:val="restart"/>
          </w:tcPr>
          <w:p>
            <w:pPr>
              <w:spacing w:after="0"/>
              <w:rPr>
                <w:sz w:val="3"/>
                <w:szCs w:val="3"/>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EAST BERLIN  CT</w:t>
            </w:r>
          </w:p>
        </w:tc>
        <w:tc>
          <w:tcPr>
            <w:tcW w:w="980" w:type="dxa"/>
            <w:vAlign w:val="bottom"/>
          </w:tcPr>
          <w:p>
            <w:pPr>
              <w:spacing w:after="0"/>
              <w:rPr>
                <w:sz w:val="4"/>
                <w:szCs w:val="4"/>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06023</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40"/>
              <w:spacing w:after="0" w:line="110"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8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0000FF"/>
              </w:rPr>
              <w:t>10/26/2026</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0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2,062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15.28</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5,624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5"/>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2,062</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15.28</w:t>
            </w:r>
          </w:p>
        </w:tc>
        <w:tc>
          <w:tcPr>
            <w:tcW w:w="24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10/26/2026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3"/>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gridSpan w:val="2"/>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2,062</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05/15/2034</w:t>
            </w:r>
          </w:p>
        </w:tc>
        <w:tc>
          <w:tcPr>
            <w:tcW w:w="62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was granted under the Company's 2021 Equity Incentive Plan. The option vests on the earlier of May 15, 2025 or the date of the Company's 2025 Annual Meeting of Stockholders.</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Jonathan Lieber,</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10/28/2026</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2605" TargetMode="External"/><Relationship Id="rId14" Type="http://schemas.openxmlformats.org/officeDocument/2006/relationships/hyperlink" Target="http://www.sec.gov/cgi-bin/browse-edgar?action=getcompany&amp;CIK=00017394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2026-10-28T16:23:51Z</dcterms:created>
  <dcterms:modified xsi:type="dcterms:W3CDTF">2026-10-28T16:23:51Z</dcterms:modified>
</cp:coreProperties>
</file>