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192" w:before="12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Arial;sans-serif" w:hAnsi="Arial;sans-serif"/>
          <w:b/>
          <w:color w:val="000000"/>
          <w:sz w:val="14"/>
        </w:rPr>
      </w:pPr>
      <w:r>
        <w:rPr>
          <w:rFonts w:ascii="Arial;sans-serif" w:hAnsi="Arial;sans-serif"/>
          <w:b/>
          <w:color w:val="000000"/>
          <w:sz w:val="14"/>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quarterly period ended June 30, 2026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For the transition period from ______________ to ______________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001-40693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before="60" w:after="283"/>
        <w:jc w:val="center"/>
        <w:rPr/>
      </w:pPr>
      <w:r>
        <w:rPr/>
        <w:drawing>
          <wp:inline distT="0" distB="0" distL="0" distR="0">
            <wp:extent cx="12096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3524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RALLYBIO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3944" w:type="dxa"/>
        <w:jc w:val="left"/>
        <w:tblInd w:w="0" w:type="dxa"/>
        <w:tblLayout w:type="fixed"/>
        <w:tblCellMar>
          <w:top w:w="28" w:type="dxa"/>
          <w:left w:w="28" w:type="dxa"/>
          <w:bottom w:w="28" w:type="dxa"/>
          <w:right w:w="28" w:type="dxa"/>
        </w:tblCellMar>
      </w:tblPr>
      <w:tblGrid>
        <w:gridCol w:w="960"/>
        <w:gridCol w:w="843"/>
        <w:gridCol w:w="851"/>
        <w:gridCol w:w="377"/>
        <w:gridCol w:w="377"/>
        <w:gridCol w:w="536"/>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85-1083789</w:t>
            </w:r>
          </w:p>
        </w:tc>
      </w:tr>
      <w:tr>
        <w:trPr/>
        <w:tc>
          <w:tcPr>
            <w:tcW w:w="26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(State or other jurisdiction of</w:t>
            </w:r>
          </w:p>
          <w:p>
            <w:pPr>
              <w:pStyle w:val="TableContents"/>
              <w:bidi w:val="0"/>
              <w:spacing w:lineRule="auto" w:line="276" w:before="0" w:after="15"/>
              <w:jc w:val="center"/>
              <w:rPr>
                <w:rFonts w:ascii="Arial;sans-serif" w:hAnsi="Arial;sans-serif"/>
                <w:b/>
                <w:color w:val="000000"/>
                <w:sz w:val="14"/>
              </w:rPr>
            </w:pPr>
            <w:r>
              <w:rPr>
                <w:rFonts w:ascii="Arial;sans-serif" w:hAnsi="Arial;sans-serif"/>
                <w:b/>
                <w:color w:val="000000"/>
                <w:sz w:val="14"/>
              </w:rPr>
              <w:t>incorporation or organization)</w:t>
            </w:r>
          </w:p>
        </w:tc>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Identification No.)</w:t>
            </w:r>
          </w:p>
        </w:tc>
      </w:tr>
      <w:tr>
        <w:trPr/>
        <w:tc>
          <w:tcPr>
            <w:tcW w:w="2654" w:type="dxa"/>
            <w:gridSpan w:val="3"/>
            <w:tcBorders/>
            <w:tcMar>
              <w:top w:w="0" w:type="dxa"/>
              <w:left w:w="0" w:type="dxa"/>
              <w:bottom w:w="0" w:type="dxa"/>
              <w:right w:w="0" w:type="dxa"/>
            </w:tcMar>
            <w:vAlign w:val="center"/>
          </w:tcPr>
          <w:p>
            <w:pPr>
              <w:pStyle w:val="TableContents"/>
              <w:bidi w:val="0"/>
              <w:spacing w:lineRule="auto" w:line="276" w:before="60" w:after="283"/>
              <w:jc w:val="center"/>
              <w:rPr>
                <w:rFonts w:ascii="Arial;sans-serif" w:hAnsi="Arial;sans-serif"/>
                <w:b/>
                <w:color w:val="000000"/>
                <w:sz w:val="18"/>
              </w:rPr>
            </w:pPr>
            <w:r>
              <w:rPr>
                <w:rFonts w:ascii="Arial;sans-serif" w:hAnsi="Arial;sans-serif"/>
                <w:b/>
                <w:color w:val="000000"/>
                <w:sz w:val="18"/>
              </w:rPr>
              <w:t>PO Box No. 325</w:t>
            </w:r>
          </w:p>
          <w:p>
            <w:pPr>
              <w:pStyle w:val="TableContents"/>
              <w:bidi w:val="0"/>
              <w:spacing w:lineRule="auto" w:line="276" w:before="0" w:after="15"/>
              <w:jc w:val="center"/>
              <w:rPr>
                <w:rFonts w:ascii="Arial;sans-serif" w:hAnsi="Arial;sans-serif"/>
                <w:b/>
                <w:color w:val="000000"/>
                <w:sz w:val="18"/>
              </w:rPr>
            </w:pPr>
            <w:r>
              <w:rPr>
                <w:rFonts w:ascii="Arial;sans-serif" w:hAnsi="Arial;sans-serif"/>
                <w:b/>
                <w:color w:val="000000"/>
                <w:sz w:val="18"/>
              </w:rPr>
              <w:t>East Berlin, CT</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06023</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Registrant’s telephone number, including area code: (203) 859-3820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Securities registered pursuant to Section 12(b) of the Act: </w:t>
      </w:r>
    </w:p>
    <w:tbl>
      <w:tblPr>
        <w:tblW w:w="8617" w:type="dxa"/>
        <w:jc w:val="left"/>
        <w:tblInd w:w="0" w:type="dxa"/>
        <w:tblLayout w:type="fixed"/>
        <w:tblCellMar>
          <w:top w:w="28" w:type="dxa"/>
          <w:left w:w="28" w:type="dxa"/>
          <w:bottom w:w="28" w:type="dxa"/>
          <w:right w:w="28" w:type="dxa"/>
        </w:tblCellMar>
      </w:tblPr>
      <w:tblGrid>
        <w:gridCol w:w="1225"/>
        <w:gridCol w:w="1076"/>
        <w:gridCol w:w="1089"/>
        <w:gridCol w:w="109"/>
        <w:gridCol w:w="109"/>
        <w:gridCol w:w="109"/>
        <w:gridCol w:w="304"/>
        <w:gridCol w:w="304"/>
        <w:gridCol w:w="306"/>
        <w:gridCol w:w="109"/>
        <w:gridCol w:w="109"/>
        <w:gridCol w:w="109"/>
        <w:gridCol w:w="1071"/>
        <w:gridCol w:w="1071"/>
        <w:gridCol w:w="1517"/>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RLYB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5"/>
        </w:rPr>
        <w:t>x</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5"/>
        </w:rPr>
        <w:t>x</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ind w:left="0" w:right="0" w:firstLine="540"/>
        <w:jc w:val="left"/>
        <w:rPr>
          <w:rFonts w:ascii="Arial;sans-serif" w:hAnsi="Arial;sans-serif"/>
          <w:b w:val="false"/>
          <w:color w:val="000000"/>
          <w:sz w:val="15"/>
        </w:rPr>
      </w:pPr>
      <w:r>
        <w:rPr>
          <w:rFonts w:ascii="Arial;sans-serif" w:hAnsi="Arial;sans-serif"/>
          <w:b w:val="false"/>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14"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649"/>
        <w:gridCol w:w="649"/>
        <w:gridCol w:w="65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r>
    </w:tbl>
    <w:p>
      <w:pPr>
        <w:pStyle w:val="TextBody"/>
        <w:bidi w:val="0"/>
        <w:spacing w:lineRule="auto" w:line="288" w:before="120" w:after="283"/>
        <w:ind w:left="0" w:right="0" w:firstLine="540"/>
        <w:jc w:val="left"/>
        <w:rPr/>
      </w:pPr>
      <w:r>
        <w:rPr>
          <w:rFonts w:ascii="Arial;sans-serif" w:hAnsi="Arial;sans-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5"/>
        </w:rPr>
        <w:t>o</w:t>
      </w:r>
    </w:p>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is a shell company (as defined in Rule 12b-2 of the Exchange Act). Yes </w:t>
      </w:r>
      <w:r>
        <w:rPr>
          <w:rFonts w:ascii="Wingdings;sans-serif" w:hAnsi="Wingdings;sans-serif"/>
          <w:b w:val="false"/>
          <w:color w:val="000000"/>
          <w:sz w:val="15"/>
        </w:rPr>
        <w:t>o</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sans-serif" w:hAnsi="Wingdings;sans-serif"/>
          <w:b w:val="false"/>
          <w:color w:val="000000"/>
          <w:sz w:val="15"/>
        </w:rPr>
        <w:t>x</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ind w:left="0" w:right="0" w:firstLine="540"/>
        <w:jc w:val="left"/>
        <w:rPr>
          <w:rFonts w:ascii="Arial;sans-serif" w:hAnsi="Arial;sans-serif"/>
          <w:b w:val="false"/>
          <w:color w:val="000000"/>
          <w:sz w:val="15"/>
        </w:rPr>
      </w:pPr>
      <w:r>
        <w:rPr>
          <w:rFonts w:ascii="Arial;sans-serif" w:hAnsi="Arial;sans-serif"/>
          <w:b w:val="false"/>
          <w:color w:val="000000"/>
          <w:sz w:val="15"/>
        </w:rPr>
        <w:t>As of July 30, 2026, the registrant had 5,310,499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bl>
      <w:tblPr>
        <w:tblW w:w="10172" w:type="dxa"/>
        <w:jc w:val="left"/>
        <w:tblInd w:w="0" w:type="dxa"/>
        <w:tblLayout w:type="fixed"/>
        <w:tblCellMar>
          <w:top w:w="28" w:type="dxa"/>
          <w:left w:w="28" w:type="dxa"/>
          <w:bottom w:w="28" w:type="dxa"/>
          <w:right w:w="28" w:type="dxa"/>
        </w:tblCellMar>
      </w:tblPr>
      <w:tblGrid>
        <w:gridCol w:w="380"/>
        <w:gridCol w:w="333"/>
        <w:gridCol w:w="338"/>
        <w:gridCol w:w="2858"/>
        <w:gridCol w:w="2858"/>
        <w:gridCol w:w="2864"/>
        <w:gridCol w:w="158"/>
        <w:gridCol w:w="158"/>
        <w:gridCol w:w="22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Page</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3">
              <w:r>
                <w:rPr>
                  <w:rStyle w:val="InternetLink"/>
                  <w:rFonts w:ascii="Arial;sans-serif" w:hAnsi="Arial;sans-serif"/>
                  <w:b/>
                  <w:strike w:val="false"/>
                  <w:dstrike w:val="false"/>
                  <w:color w:val="000000"/>
                  <w:sz w:val="20"/>
                  <w:u w:val="none"/>
                  <w:effect w:val="none"/>
                </w:rPr>
                <w:t>PART I.</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3">
              <w:r>
                <w:rPr>
                  <w:rStyle w:val="InternetLink"/>
                  <w:rFonts w:ascii="Arial;sans-serif" w:hAnsi="Arial;sans-serif"/>
                  <w:b/>
                  <w:color w:val="0000FF"/>
                  <w:sz w:val="20"/>
                  <w:u w:val="single"/>
                </w:rPr>
                <w:t>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6">
              <w:r>
                <w:rPr>
                  <w:rStyle w:val="InternetLink"/>
                  <w:rFonts w:ascii="Arial;sans-serif" w:hAnsi="Arial;sans-serif"/>
                  <w:b w:val="false"/>
                  <w:strike w:val="false"/>
                  <w:dstrike w:val="false"/>
                  <w:color w:val="000000"/>
                  <w:sz w:val="20"/>
                  <w:u w:val="none"/>
                  <w:effect w:val="none"/>
                </w:rPr>
                <w:t>Item 1.</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6">
              <w:r>
                <w:rPr>
                  <w:rStyle w:val="InternetLink"/>
                  <w:rFonts w:ascii="Arial;sans-serif" w:hAnsi="Arial;sans-serif"/>
                  <w:b w:val="false"/>
                  <w:color w:val="0000FF"/>
                  <w:sz w:val="20"/>
                  <w:u w:val="single"/>
                </w:rPr>
                <w:t>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3">
              <w:r>
                <w:rPr>
                  <w:rStyle w:val="InternetLink"/>
                  <w:rFonts w:ascii="Arial;sans-serif" w:hAnsi="Arial;sans-serif"/>
                  <w:b w:val="false"/>
                  <w:strike w:val="false"/>
                  <w:dstrike w:val="false"/>
                  <w:color w:val="000000"/>
                  <w:sz w:val="20"/>
                  <w:u w:val="none"/>
                  <w:effect w:val="none"/>
                </w:rPr>
                <w:t>7</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9">
              <w:r>
                <w:rPr>
                  <w:rStyle w:val="InternetLink"/>
                  <w:rFonts w:ascii="Arial;sans-serif" w:hAnsi="Arial;sans-serif"/>
                  <w:b w:val="false"/>
                  <w:color w:val="0000FF"/>
                  <w:sz w:val="20"/>
                  <w:u w:val="single"/>
                </w:rPr>
                <w:t>Unaudited 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9">
              <w:r>
                <w:rPr>
                  <w:rStyle w:val="InternetLink"/>
                  <w:rFonts w:ascii="Arial;sans-serif" w:hAnsi="Arial;sans-serif"/>
                  <w:b w:val="false"/>
                  <w:strike w:val="false"/>
                  <w:dstrike w:val="false"/>
                  <w:color w:val="000000"/>
                  <w:sz w:val="20"/>
                  <w:u w:val="none"/>
                  <w:effect w:val="none"/>
                </w:rPr>
                <w:t>7</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22">
              <w:r>
                <w:rPr>
                  <w:rStyle w:val="InternetLink"/>
                  <w:rFonts w:ascii="Arial;sans-serif" w:hAnsi="Arial;sans-serif"/>
                  <w:b w:val="false"/>
                  <w:color w:val="000080"/>
                  <w:sz w:val="20"/>
                  <w:u w:val="single"/>
                </w:rPr>
                <w:t>Unaudited Condensed Consolidated Statements of Operations and Comprehensive</w:t>
              </w:r>
            </w:hyperlink>
            <w:hyperlink w:anchor="i4f5ce7b5b6f34fcc82f7c1d8a8430a5a_22">
              <w:r>
                <w:rPr>
                  <w:rStyle w:val="InternetLink"/>
                  <w:rFonts w:ascii="Arial;sans-serif" w:hAnsi="Arial;sans-serif"/>
                  <w:b w:val="false"/>
                  <w:color w:val="000080"/>
                  <w:sz w:val="20"/>
                  <w:u w:val="single"/>
                </w:rPr>
                <w:t xml:space="preserve"> Income</w:t>
              </w:r>
            </w:hyperlink>
            <w:hyperlink w:anchor="i4f5ce7b5b6f34fcc82f7c1d8a8430a5a_22">
              <w:r>
                <w:rPr>
                  <w:rStyle w:val="InternetLink"/>
                  <w:rFonts w:ascii="Arial;sans-serif" w:hAnsi="Arial;sans-serif"/>
                  <w:b w:val="false"/>
                  <w:color w:val="000080"/>
                  <w:sz w:val="20"/>
                  <w:u w:val="single"/>
                </w:rPr>
                <w:t xml:space="preserve"> </w:t>
              </w:r>
            </w:hyperlink>
            <w:hyperlink w:anchor="i4f5ce7b5b6f34fcc82f7c1d8a8430a5a_22">
              <w:r>
                <w:rPr>
                  <w:rStyle w:val="InternetLink"/>
                  <w:rFonts w:ascii="Arial;sans-serif" w:hAnsi="Arial;sans-serif"/>
                  <w:b w:val="false"/>
                  <w:color w:val="000080"/>
                  <w:sz w:val="20"/>
                  <w:u w:val="single"/>
                </w:rPr>
                <w:t>(</w:t>
              </w:r>
            </w:hyperlink>
            <w:hyperlink w:anchor="i4f5ce7b5b6f34fcc82f7c1d8a8430a5a_22">
              <w:r>
                <w:rPr>
                  <w:rStyle w:val="InternetLink"/>
                  <w:rFonts w:ascii="Arial;sans-serif" w:hAnsi="Arial;sans-serif"/>
                  <w:b w:val="false"/>
                  <w:color w:val="000080"/>
                  <w:sz w:val="20"/>
                  <w:u w:val="single"/>
                </w:rPr>
                <w:t>Loss</w:t>
              </w:r>
            </w:hyperlink>
            <w:r>
              <w:rPr>
                <w:rFonts w:ascii="Arial;sans-serif" w:hAnsi="Arial;sans-serif"/>
                <w:b w:val="false"/>
                <w:color w:val="000000"/>
                <w:sz w:val="20"/>
              </w:rPr>
              <w: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22">
              <w:r>
                <w:rPr>
                  <w:rStyle w:val="InternetLink"/>
                  <w:rFonts w:ascii="Arial;sans-serif" w:hAnsi="Arial;sans-serif"/>
                  <w:b w:val="false"/>
                  <w:strike w:val="false"/>
                  <w:dstrike w:val="false"/>
                  <w:color w:val="000000"/>
                  <w:sz w:val="20"/>
                  <w:u w:val="none"/>
                  <w:effect w:val="none"/>
                </w:rPr>
                <w:t>8</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25">
              <w:r>
                <w:rPr>
                  <w:rStyle w:val="InternetLink"/>
                  <w:rFonts w:ascii="Arial;sans-serif" w:hAnsi="Arial;sans-serif"/>
                  <w:b w:val="false"/>
                  <w:color w:val="0000FF"/>
                  <w:sz w:val="20"/>
                  <w:u w:val="single"/>
                </w:rPr>
                <w:t>Unaudited Condensed Consolidated Statements of Changes in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25">
              <w:r>
                <w:rPr>
                  <w:rStyle w:val="InternetLink"/>
                  <w:rFonts w:ascii="Arial;sans-serif" w:hAnsi="Arial;sans-serif"/>
                  <w:b w:val="false"/>
                  <w:strike w:val="false"/>
                  <w:dstrike w:val="false"/>
                  <w:color w:val="000000"/>
                  <w:sz w:val="20"/>
                  <w:u w:val="none"/>
                  <w:effect w:val="none"/>
                </w:rPr>
                <w:t>9</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28">
              <w:r>
                <w:rPr>
                  <w:rStyle w:val="InternetLink"/>
                  <w:rFonts w:ascii="Arial;sans-serif" w:hAnsi="Arial;sans-serif"/>
                  <w:b w:val="false"/>
                  <w:color w:val="0000FF"/>
                  <w:sz w:val="20"/>
                  <w:u w:val="single"/>
                </w:rPr>
                <w:t>Unaudited 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28">
              <w:r>
                <w:rPr>
                  <w:rStyle w:val="InternetLink"/>
                  <w:rFonts w:ascii="Arial;sans-serif" w:hAnsi="Arial;sans-serif"/>
                  <w:b w:val="false"/>
                  <w:strike w:val="false"/>
                  <w:dstrike w:val="false"/>
                  <w:color w:val="000000"/>
                  <w:sz w:val="20"/>
                  <w:u w:val="none"/>
                  <w:effect w:val="none"/>
                </w:rPr>
                <w:t>11</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31">
              <w:r>
                <w:rPr>
                  <w:rStyle w:val="InternetLink"/>
                  <w:rFonts w:ascii="Arial;sans-serif" w:hAnsi="Arial;sans-serif"/>
                  <w:b w:val="false"/>
                  <w:color w:val="0000FF"/>
                  <w:sz w:val="20"/>
                  <w:u w:val="single"/>
                </w:rPr>
                <w:t>Notes to Unaudited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31">
              <w:r>
                <w:rPr>
                  <w:rStyle w:val="InternetLink"/>
                  <w:rFonts w:ascii="Arial;sans-serif" w:hAnsi="Arial;sans-serif"/>
                  <w:b w:val="false"/>
                  <w:strike w:val="false"/>
                  <w:dstrike w:val="false"/>
                  <w:color w:val="000000"/>
                  <w:sz w:val="20"/>
                  <w:u w:val="none"/>
                  <w:effect w:val="none"/>
                </w:rPr>
                <w:t>12</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73">
              <w:r>
                <w:rPr>
                  <w:rStyle w:val="InternetLink"/>
                  <w:rFonts w:ascii="Arial;sans-serif" w:hAnsi="Arial;sans-serif"/>
                  <w:b w:val="false"/>
                  <w:strike w:val="false"/>
                  <w:dstrike w:val="false"/>
                  <w:color w:val="000000"/>
                  <w:sz w:val="20"/>
                  <w:u w:val="none"/>
                  <w:effect w:val="none"/>
                </w:rPr>
                <w:t>Item 2.</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73">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73">
              <w:r>
                <w:rPr>
                  <w:rStyle w:val="InternetLink"/>
                  <w:rFonts w:ascii="Arial;sans-serif" w:hAnsi="Arial;sans-serif"/>
                  <w:b w:val="false"/>
                  <w:strike w:val="false"/>
                  <w:dstrike w:val="false"/>
                  <w:color w:val="000000"/>
                  <w:sz w:val="20"/>
                  <w:u w:val="none"/>
                  <w:effect w:val="none"/>
                </w:rPr>
                <w:t>25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03">
              <w:r>
                <w:rPr>
                  <w:rStyle w:val="InternetLink"/>
                  <w:rFonts w:ascii="Arial;sans-serif" w:hAnsi="Arial;sans-serif"/>
                  <w:b w:val="false"/>
                  <w:strike w:val="false"/>
                  <w:dstrike w:val="false"/>
                  <w:color w:val="000000"/>
                  <w:sz w:val="20"/>
                  <w:u w:val="none"/>
                  <w:effect w:val="none"/>
                </w:rPr>
                <w:t>Item 3.</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03">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03">
              <w:r>
                <w:rPr>
                  <w:rStyle w:val="InternetLink"/>
                  <w:rFonts w:ascii="Arial;sans-serif" w:hAnsi="Arial;sans-serif"/>
                  <w:b w:val="false"/>
                  <w:strike w:val="false"/>
                  <w:dstrike w:val="false"/>
                  <w:color w:val="000000"/>
                  <w:sz w:val="20"/>
                  <w:u w:val="none"/>
                  <w:effect w:val="none"/>
                </w:rPr>
                <w:t>38</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06">
              <w:r>
                <w:rPr>
                  <w:rStyle w:val="InternetLink"/>
                  <w:rFonts w:ascii="Arial;sans-serif" w:hAnsi="Arial;sans-serif"/>
                  <w:b w:val="false"/>
                  <w:strike w:val="false"/>
                  <w:dstrike w:val="false"/>
                  <w:color w:val="000000"/>
                  <w:sz w:val="20"/>
                  <w:u w:val="none"/>
                  <w:effect w:val="none"/>
                </w:rPr>
                <w:t>Item 4.</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06">
              <w:r>
                <w:rPr>
                  <w:rStyle w:val="InternetLink"/>
                  <w:rFonts w:ascii="Arial;sans-serif" w:hAnsi="Arial;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06">
              <w:r>
                <w:rPr>
                  <w:rStyle w:val="InternetLink"/>
                  <w:rFonts w:ascii="Arial;sans-serif" w:hAnsi="Arial;sans-serif"/>
                  <w:b w:val="false"/>
                  <w:strike w:val="false"/>
                  <w:dstrike w:val="false"/>
                  <w:color w:val="000000"/>
                  <w:sz w:val="20"/>
                  <w:u w:val="none"/>
                  <w:effect w:val="none"/>
                </w:rPr>
                <w:t>38</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09">
              <w:r>
                <w:rPr>
                  <w:rStyle w:val="InternetLink"/>
                  <w:rFonts w:ascii="Arial;sans-serif" w:hAnsi="Arial;sans-serif"/>
                  <w:b/>
                  <w:strike w:val="false"/>
                  <w:dstrike w:val="false"/>
                  <w:color w:val="000000"/>
                  <w:sz w:val="20"/>
                  <w:u w:val="none"/>
                  <w:effect w:val="none"/>
                </w:rPr>
                <w:t>PART II.</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09">
              <w:r>
                <w:rPr>
                  <w:rStyle w:val="InternetLink"/>
                  <w:rFonts w:ascii="Arial;sans-serif" w:hAnsi="Arial;sans-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12">
              <w:r>
                <w:rPr>
                  <w:rStyle w:val="InternetLink"/>
                  <w:rFonts w:ascii="Arial;sans-serif" w:hAnsi="Arial;sans-serif"/>
                  <w:b w:val="false"/>
                  <w:strike w:val="false"/>
                  <w:dstrike w:val="false"/>
                  <w:color w:val="000000"/>
                  <w:sz w:val="20"/>
                  <w:u w:val="none"/>
                  <w:effect w:val="none"/>
                </w:rPr>
                <w:t>Item 1.</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12">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12">
              <w:r>
                <w:rPr>
                  <w:rStyle w:val="InternetLink"/>
                  <w:rFonts w:ascii="Arial;sans-serif" w:hAnsi="Arial;sans-serif"/>
                  <w:b w:val="false"/>
                  <w:strike w:val="false"/>
                  <w:dstrike w:val="false"/>
                  <w:color w:val="000000"/>
                  <w:sz w:val="20"/>
                  <w:u w:val="none"/>
                  <w:effect w:val="none"/>
                </w:rPr>
                <w:t>39</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15">
              <w:r>
                <w:rPr>
                  <w:rStyle w:val="InternetLink"/>
                  <w:rFonts w:ascii="Arial;sans-serif" w:hAnsi="Arial;sans-serif"/>
                  <w:b w:val="false"/>
                  <w:strike w:val="false"/>
                  <w:dstrike w:val="false"/>
                  <w:color w:val="000000"/>
                  <w:sz w:val="20"/>
                  <w:u w:val="none"/>
                  <w:effect w:val="none"/>
                </w:rPr>
                <w:t>Item 1A.</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15">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15">
              <w:r>
                <w:rPr>
                  <w:rStyle w:val="InternetLink"/>
                  <w:rFonts w:ascii="Arial;sans-serif" w:hAnsi="Arial;sans-serif"/>
                  <w:b w:val="false"/>
                  <w:strike w:val="false"/>
                  <w:dstrike w:val="false"/>
                  <w:color w:val="000000"/>
                  <w:sz w:val="20"/>
                  <w:u w:val="none"/>
                  <w:effect w:val="none"/>
                </w:rPr>
                <w:t>39</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18">
              <w:r>
                <w:rPr>
                  <w:rStyle w:val="InternetLink"/>
                  <w:rFonts w:ascii="Arial;sans-serif" w:hAnsi="Arial;sans-serif"/>
                  <w:b w:val="false"/>
                  <w:strike w:val="false"/>
                  <w:dstrike w:val="false"/>
                  <w:color w:val="000000"/>
                  <w:sz w:val="20"/>
                  <w:u w:val="none"/>
                  <w:effect w:val="none"/>
                </w:rPr>
                <w:t>Item 2.</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18">
              <w:r>
                <w:rPr>
                  <w:rStyle w:val="InternetLink"/>
                  <w:rFonts w:ascii="Arial;sans-serif" w:hAnsi="Arial;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18">
              <w:r>
                <w:rPr>
                  <w:rStyle w:val="InternetLink"/>
                  <w:rFonts w:ascii="Arial;sans-serif" w:hAnsi="Arial;sans-serif"/>
                  <w:b w:val="false"/>
                  <w:strike w:val="false"/>
                  <w:dstrike w:val="false"/>
                  <w:color w:val="000000"/>
                  <w:sz w:val="20"/>
                  <w:u w:val="none"/>
                  <w:effect w:val="none"/>
                </w:rPr>
                <w:t>92</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5.</w:t>
            </w:r>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21">
              <w:bookmarkStart w:id="1" w:name="i6d0afd9448f048b5a1593fd99955bf0c_16-1-1"/>
              <w:bookmarkEnd w:id="1"/>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21">
              <w:r>
                <w:rPr>
                  <w:rStyle w:val="InternetLink"/>
                  <w:rFonts w:ascii="Arial;sans-serif" w:hAnsi="Arial;sans-serif"/>
                  <w:b w:val="false"/>
                  <w:strike w:val="false"/>
                  <w:dstrike w:val="false"/>
                  <w:color w:val="000000"/>
                  <w:sz w:val="20"/>
                  <w:u w:val="none"/>
                  <w:effect w:val="none"/>
                </w:rPr>
                <w:t>93</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24">
              <w:r>
                <w:rPr>
                  <w:rStyle w:val="InternetLink"/>
                  <w:rFonts w:ascii="Arial;sans-serif" w:hAnsi="Arial;sans-serif"/>
                  <w:b w:val="false"/>
                  <w:strike w:val="false"/>
                  <w:dstrike w:val="false"/>
                  <w:color w:val="000000"/>
                  <w:sz w:val="20"/>
                  <w:u w:val="none"/>
                  <w:effect w:val="none"/>
                </w:rPr>
                <w:t>Item 6.</w:t>
              </w:r>
            </w:hyperlink>
          </w:p>
        </w:tc>
        <w:tc>
          <w:tcPr>
            <w:tcW w:w="85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24">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24">
              <w:r>
                <w:rPr>
                  <w:rStyle w:val="InternetLink"/>
                  <w:rFonts w:ascii="Arial;sans-serif" w:hAnsi="Arial;sans-serif"/>
                  <w:b w:val="false"/>
                  <w:strike w:val="false"/>
                  <w:dstrike w:val="false"/>
                  <w:color w:val="000000"/>
                  <w:sz w:val="20"/>
                  <w:u w:val="none"/>
                  <w:effect w:val="none"/>
                </w:rPr>
                <w:t>94</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5ce7b5b6f34fcc82f7c1d8a8430a5a_127">
              <w:r>
                <w:rPr>
                  <w:rStyle w:val="InternetLink"/>
                  <w:rFonts w:ascii="Arial;sans-serif" w:hAnsi="Arial;sans-serif"/>
                  <w:b w:val="false"/>
                  <w:color w:val="0000FF"/>
                  <w:sz w:val="20"/>
                  <w:u w:val="single"/>
                </w:rPr>
                <w:t>Signatures</w:t>
              </w:r>
            </w:hyperlink>
          </w:p>
        </w:tc>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5ce7b5b6f34fcc82f7c1d8a8430a5a_127">
              <w:r>
                <w:rPr>
                  <w:rStyle w:val="InternetLink"/>
                  <w:rFonts w:ascii="Arial;sans-serif" w:hAnsi="Arial;sans-serif"/>
                  <w:b w:val="false"/>
                  <w:strike w:val="false"/>
                  <w:dstrike w:val="false"/>
                  <w:color w:val="000000"/>
                  <w:sz w:val="20"/>
                  <w:u w:val="none"/>
                  <w:effect w:val="non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contains forward-looking statements that are based on management’s beliefs and assumptions and on information currently available to management.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proposed Merger (as defined below) with Avenzo Therapeutics, Inc, a Delaware corporation ("Avenzo") and any potential benefits of the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initiation, timing, progress, results, and cost of our research and development programs, and our current and future preclinical and clinical studies, including statements regarding timing of initiation and completion of our clinical trials for RLYB116, and related preparatory work, and the period during which the results of the trials will become available;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success, cost and timing of the clinical development of our product candidates, including RLYB116;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potential of our product candidates to treat certain target diseases;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initiate, recruit and enroll patients in and conduct our clinical trials at the pace that we project;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compete with companies currently marketing or engaged in the development of treatments for diseases that our product candidates are designed to target, including diseases of complement dysregulation, diseases of iron overload, immune platelet transfusion refractoriness ("PTR") and refractory antiphospholipid syndrome ("APS");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reliance on third parties to conduct our clinical trials;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enhancements to the manufacturing process for RLYB116;</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reliance on third parties to manufacture drug substance and drug product for use in our clinical trials;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identify and advance through clinical development any additional product candidates;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regulatory designations allowing for priority review of our product candidates, and our ability to obtain and maintain regulatory approval of our product candidates, and any related restrictions, limitations or warnings in the label of any of our product candidates, if approved;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size and growth potential of the markets for RLYB116 and any of our current product candidates or other product candidates we may identify and pursue, and our ability to serve those markets;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commercialization of our current product candidates and any other product candidates we may identify and pursue, if approved, including our ability to successfully build commercial infrastructure or enter into collaborations with third parties to market our current product candidates and any other product candidates we may identify and pursue;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retain and recruit key personnel;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obtain and maintain adequate intellectual property rights;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expectations regarding government and third-party payor coverage and reimbursement;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estimates of our expenses, ongoing losses, capital requirements and our needs for or ability to obtain additional financing;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eligibility to receive milestone payments and royalties under our Membership Interest Purchase Agreement, dated July 8, 2025, with Recursion Pharmaceuticals, Inc. ("Recursion");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benefits of strategic collaboration agreements and arrangements and our ability to enter into strategic collaborations or arrangements, including potential business development opportunities and potential licensing partnerships, and our ability to attract collaborators with development, regulatory and commercialization expertise;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time during which we will be an emerging growth company under the Jumpstart Our Business Startups Act of 2012;</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financial performance;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developments and projections relating to our competitors or our industry; and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risks and uncertainties, including those listed under the section titled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those described under the sections in this Quarterly Report on Form 10-Q entitled “Risk Factors” and “Management’s Discussion and Analysis of Financial Condition and Results of Operations” and elsewhere in this Quarterly Report on Form 10-Q.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it is not possible for management to predict all risks and uncertainties. Except as required by applicable law, we are not obligated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Trademarks</w:t>
      </w:r>
    </w:p>
    <w:p>
      <w:pPr>
        <w:pStyle w:val="TextBody"/>
        <w:bidi w:val="0"/>
        <w:spacing w:lineRule="auto" w:line="288" w:before="0" w:after="0"/>
        <w:jc w:val="left"/>
        <w:rPr/>
      </w:pPr>
      <w:r>
        <w:rPr>
          <w:rFonts w:ascii="Arial;sans-serif" w:hAnsi="Arial;sans-serif"/>
          <w:b w:val="false"/>
          <w:color w:val="000000"/>
          <w:sz w:val="20"/>
        </w:rPr>
        <w:t>We use Rallybio as a trademark in the United States ("U.S.") and/or in other countries. This Quarterly Report on Form 10-Q contains references to our trademark and to those belonging to other entities, including Affibody</w:t>
      </w:r>
      <w:r>
        <w:rPr>
          <w:rFonts w:ascii="Arial;sans-serif" w:hAnsi="Arial;sans-serif"/>
          <w:b/>
          <w:color w:val="000000"/>
          <w:sz w:val="13"/>
        </w:rPr>
        <w:t>®</w:t>
      </w:r>
      <w:r>
        <w:rPr>
          <w:rFonts w:ascii="Arial;sans-serif" w:hAnsi="Arial;sans-serif"/>
          <w:b w:val="false"/>
          <w:color w:val="000000"/>
          <w:sz w:val="20"/>
        </w:rPr>
        <w:t xml:space="preserve">. Solely for convenience, trademarks and trade names referred to in this Quarterly Report on Form 10-Q, including logos, artwork and other visual displays, may appear without the </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is subject to a number of risks that are discussed more fully in the “Risk Factors” section of this Quarterly Report on Form 10-Q. These risks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complete, or delays in completing, the proposed Merger with Avenzo could materially and adversely affect our results of operations, business, financial results and/or stock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Merger may be completed even though a material adverse effect may result from the announcement of the Merger, industry-wide changes and/or other causes;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stockholders may not realize a benefit from the Merger commensurate with the ownership dilution they will experience in connection with the Merger;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incurred significant losses since our inception and anticipate that, if we continue to progress the development of our product candidates, we will continue to incur losses in the foreseeable future. We have not commercialized any products and have never generated revenue from the commercialization of any product. We are not currently profitable, and we may never achieve or sustain profitability;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continue to progress the development of our product candidates, we will require significant additional capital to fund our operations. If we continue to progress the development of our product candidates and fail to obtain necessary financing, we may not be able to complete the development or commercialization of RLYB116 or any other product candidate. Given our limited resources and access to capital, we may decide to prioritize development of certain product candidates, the choice of which may prove to be wrong and adversely affect our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Raising additional capital may cause dilution to our stockholders, restrict our operations or require us to relinquish rights to our intellectual property or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are heavily dependent on the success of RLYB116, which is in early-stage clinical development. If we continue to progress the development of our product candidates, and we are not able to develop, obtain marketing approval for, or successfully commercialize our product candidates, or if we experience significant delays in doing so, our business will be materially harmed;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Preclinical studies and clinical trials are expensive, time consuming and difficult to design and implement, and involve uncertain outcomes. If we continue to progress the development of our product candidates, we may incur additional costs or experience delays in completing, or ultimately be unable to complete, the development of these product candidates;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Enrollment and retention of patients in rare disease clinical trials is an expensive and time-consuming process and could be made more difficult or rendered impossible by multiple factors outside our control;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continue to progress the development of our product candidates, results of preclinical studies, clinical trials or analyses that we may announce or publish from time to time, may not be indicative of results obtained in later trials, and any interim results we may publish could be different than final results;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continue to progress the development of our product candidates, 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marketing approval processes of the U.S. Food and Drug Administration (the "FDA"), the European Medicines Agency (the "EMA"), and comparable foreign regulatory authorities, including the Medicines and Healthcare products Regulatory Agency in the United Kingdom (the “MHRA”), are lengthy, time-consuming, and inherently unpredictable, and if we continue to progress the development of our product candidates and are ultimately unable to obtain marketing approval for RLYB116 or any of our other product candidates, our business will be substantially harmed;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product candidates target rare diseases and conditions and if we continue to progress the development of our product candidates, the market opportunities for RLYB116 or any of our other product candidates, if approved, may be smaller than we anticipate. We must be able to successfully identify patients and capture a significant market share to achieve profitability and growth;</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face significant competition from biotechnology and pharmaceutical companies and if we continue to progress the development of our product candidates, our operating results will suffer if we fail to compete effectively;</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continue to progress the development of our product candidates, we may pursue business development transactions and collaborate with third parties for the development and commercialization of our product candidates. We may not succeed in identifying and acquiring businesses or assets, in-licensing intellectual property rights or establishing and maintaining collaborations, which may significantly limit our ability to successfully develop and commercialize our other product candidates, if at all, and these transactions could disrupt our business, cause dilution to our stockholders or reduce our financial resources;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which may also impact the value of any potential contingent value right ("CVR").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foregoing is only a summary of some of our risks. For a more detailed discussion of these and other risks you should consider before making an investment in our common stock, see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6"/>
        <w:gridCol w:w="2371"/>
        <w:gridCol w:w="2383"/>
        <w:gridCol w:w="211"/>
        <w:gridCol w:w="721"/>
        <w:gridCol w:w="109"/>
        <w:gridCol w:w="109"/>
        <w:gridCol w:w="109"/>
        <w:gridCol w:w="109"/>
        <w:gridCol w:w="228"/>
        <w:gridCol w:w="780"/>
        <w:gridCol w:w="169"/>
      </w:tblGrid>
      <w:tr>
        <w:trPr/>
        <w:tc>
          <w:tcPr>
            <w:tcW w:w="290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thousands, except share and per share amounts)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61,253 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62,261 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7)</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$0.0001 par value per share; 200,000,000 shares authorized as of June 30, 2026 and December 31, 2025; and 5,306,894 and 5,283,321 shares issued and outstanding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$0.0001 par value per share; 50,000,000 shares authorized as of June 30, 2026 and December 31, 2025; no shares issued or outstanding as of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359,932 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gain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(301,998)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57,956 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98,063 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62,261 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Statements of Operations and Comprehensive Income (Loss)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48"/>
        <w:gridCol w:w="1270"/>
        <w:gridCol w:w="1277"/>
        <w:gridCol w:w="246"/>
        <w:gridCol w:w="841"/>
        <w:gridCol w:w="127"/>
        <w:gridCol w:w="127"/>
        <w:gridCol w:w="127"/>
        <w:gridCol w:w="127"/>
        <w:gridCol w:w="246"/>
        <w:gridCol w:w="795"/>
        <w:gridCol w:w="127"/>
        <w:gridCol w:w="109"/>
        <w:gridCol w:w="109"/>
        <w:gridCol w:w="109"/>
        <w:gridCol w:w="215"/>
        <w:gridCol w:w="739"/>
        <w:gridCol w:w="111"/>
        <w:gridCol w:w="111"/>
        <w:gridCol w:w="111"/>
        <w:gridCol w:w="111"/>
        <w:gridCol w:w="215"/>
        <w:gridCol w:w="806"/>
        <w:gridCol w:w="111"/>
        <w:gridCol w:w="109"/>
        <w:gridCol w:w="109"/>
        <w:gridCol w:w="109"/>
        <w:gridCol w:w="163"/>
      </w:tblGrid>
      <w:tr>
        <w:trPr/>
        <w:tc>
          <w:tcPr>
            <w:tcW w:w="154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thousands, except share and per share amounts)</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Collaboration and license revenue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10,269 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20,151 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(5,653)</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(10,057)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(14,386)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(19,727)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Termination fee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50,642 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51,097 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(loss) before equity in losses of joint venture</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44,989 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(9,416)</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(18,268)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investment in joint venture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43,665 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(9,703)</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35,387 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(19,142)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per common share, basic</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per common share, diluted</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basic</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5,699,111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5,605,116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5,693,877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5,600,987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diluted</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5,797,913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5,749,133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gain (loss):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unrealized loss on marketable securities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Comprehensive gain (loss)</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43,664 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(9,733)</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35,369 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(19,193)</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10207" w:type="dxa"/>
        <w:jc w:val="center"/>
        <w:tblInd w:w="0" w:type="dxa"/>
        <w:tblLayout w:type="fixed"/>
        <w:tblCellMar>
          <w:top w:w="28" w:type="dxa"/>
          <w:left w:w="28" w:type="dxa"/>
          <w:bottom w:w="28" w:type="dxa"/>
          <w:right w:w="28" w:type="dxa"/>
        </w:tblCellMar>
      </w:tblPr>
      <w:tblGrid>
        <w:gridCol w:w="709"/>
        <w:gridCol w:w="268"/>
        <w:gridCol w:w="269"/>
        <w:gridCol w:w="274"/>
        <w:gridCol w:w="274"/>
        <w:gridCol w:w="278"/>
        <w:gridCol w:w="109"/>
        <w:gridCol w:w="109"/>
        <w:gridCol w:w="109"/>
        <w:gridCol w:w="301"/>
        <w:gridCol w:w="371"/>
        <w:gridCol w:w="169"/>
        <w:gridCol w:w="109"/>
        <w:gridCol w:w="109"/>
        <w:gridCol w:w="109"/>
        <w:gridCol w:w="214"/>
        <w:gridCol w:w="806"/>
        <w:gridCol w:w="121"/>
        <w:gridCol w:w="109"/>
        <w:gridCol w:w="109"/>
        <w:gridCol w:w="109"/>
        <w:gridCol w:w="259"/>
        <w:gridCol w:w="992"/>
        <w:gridCol w:w="145"/>
        <w:gridCol w:w="109"/>
        <w:gridCol w:w="109"/>
        <w:gridCol w:w="109"/>
        <w:gridCol w:w="422"/>
        <w:gridCol w:w="874"/>
        <w:gridCol w:w="235"/>
        <w:gridCol w:w="109"/>
        <w:gridCol w:w="109"/>
        <w:gridCol w:w="109"/>
        <w:gridCol w:w="313"/>
        <w:gridCol w:w="1031"/>
        <w:gridCol w:w="247"/>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u w:val="single"/>
              </w:rPr>
            </w:pPr>
            <w:r>
              <w:rPr>
                <w:rFonts w:ascii="Arial;sans-serif" w:hAnsi="Arial;sans-serif"/>
                <w:b/>
                <w:i/>
                <w:color w:val="000000"/>
                <w:sz w:val="16"/>
                <w:u w:val="single"/>
              </w:rPr>
              <w:t>FOR THE THREE MONTHS ENDED JUNE 30, 2026 AND 2025</w:t>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OTHER 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STOCKHOLDERS' </w:t>
              <w:br/>
              <w:t xml:space="preserve">EQUITY </w:t>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share amounts)</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March 31, 2025</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5,201,479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356,481 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(302,459)</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54,073 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Share-based compensation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award plan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purchase plan</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2025</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5,213,366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358,105 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(312,162)</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45,964 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March 31, 2026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5,290,236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360,548 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(310,276)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50,277 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Share-based compensation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award plan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purchase plan</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from exercise of stock options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43,665 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2026</w:t>
            </w:r>
          </w:p>
        </w:tc>
        <w:tc>
          <w:tcPr>
            <w:tcW w:w="8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5,306,894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361,103 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(266,611)</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94,496 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tbl>
      <w:tblPr>
        <w:tblW w:w="10305" w:type="dxa"/>
        <w:jc w:val="center"/>
        <w:tblInd w:w="0" w:type="dxa"/>
        <w:tblLayout w:type="fixed"/>
        <w:tblCellMar>
          <w:top w:w="28" w:type="dxa"/>
          <w:left w:w="28" w:type="dxa"/>
          <w:bottom w:w="28" w:type="dxa"/>
          <w:right w:w="28" w:type="dxa"/>
        </w:tblCellMar>
      </w:tblPr>
      <w:tblGrid>
        <w:gridCol w:w="709"/>
        <w:gridCol w:w="268"/>
        <w:gridCol w:w="269"/>
        <w:gridCol w:w="323"/>
        <w:gridCol w:w="323"/>
        <w:gridCol w:w="278"/>
        <w:gridCol w:w="109"/>
        <w:gridCol w:w="109"/>
        <w:gridCol w:w="109"/>
        <w:gridCol w:w="301"/>
        <w:gridCol w:w="371"/>
        <w:gridCol w:w="169"/>
        <w:gridCol w:w="109"/>
        <w:gridCol w:w="109"/>
        <w:gridCol w:w="109"/>
        <w:gridCol w:w="214"/>
        <w:gridCol w:w="806"/>
        <w:gridCol w:w="121"/>
        <w:gridCol w:w="109"/>
        <w:gridCol w:w="109"/>
        <w:gridCol w:w="109"/>
        <w:gridCol w:w="259"/>
        <w:gridCol w:w="992"/>
        <w:gridCol w:w="145"/>
        <w:gridCol w:w="109"/>
        <w:gridCol w:w="109"/>
        <w:gridCol w:w="109"/>
        <w:gridCol w:w="422"/>
        <w:gridCol w:w="874"/>
        <w:gridCol w:w="235"/>
        <w:gridCol w:w="109"/>
        <w:gridCol w:w="109"/>
        <w:gridCol w:w="109"/>
        <w:gridCol w:w="313"/>
        <w:gridCol w:w="1031"/>
        <w:gridCol w:w="247"/>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u w:val="single"/>
              </w:rPr>
            </w:pPr>
            <w:r>
              <w:rPr>
                <w:rFonts w:ascii="Arial;sans-serif" w:hAnsi="Arial;sans-serif"/>
                <w:b/>
                <w:i/>
                <w:color w:val="000000"/>
                <w:sz w:val="16"/>
                <w:u w:val="single"/>
              </w:rPr>
              <w:t>FOR THE SIX MONTHS ENDED JUNE 30, 2026 AND 2025</w:t>
            </w:r>
          </w:p>
        </w:tc>
        <w:tc>
          <w:tcPr>
            <w:tcW w:w="2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OTHER 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STOCKHOLDERS' </w:t>
              <w:br/>
              <w:t xml:space="preserve">EQUITY </w:t>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share amounts)</w:t>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6"/>
              </w:rPr>
            </w:pPr>
            <w:r>
              <w:rPr>
                <w:rFonts w:ascii="Arial;sans-serif" w:hAnsi="Arial;sans-serif"/>
                <w:b/>
                <w:color w:val="000000"/>
                <w:sz w:val="16"/>
              </w:rPr>
              <w:t>December 31, 2024</w:t>
            </w:r>
          </w:p>
        </w:tc>
        <w:tc>
          <w:tcPr>
            <w:tcW w:w="9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5,188,743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354,602 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(293,020)</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61,654 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Share-based compensation </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award plan</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purchase plan</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(19,142)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(19,142)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2025</w:t>
            </w:r>
          </w:p>
        </w:tc>
        <w:tc>
          <w:tcPr>
            <w:tcW w:w="9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5,213,366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358,105 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(312,162)</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45,964 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December 31, 2025</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5,283,321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359,932 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(301,998)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57,956 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Share-based compensation </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award plan</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from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14,087 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35,387 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2026</w:t>
            </w:r>
          </w:p>
        </w:tc>
        <w:tc>
          <w:tcPr>
            <w:tcW w:w="9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5,306,894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361,103 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(266,611)</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94,496 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RALLYBIO CORPORATION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9926" w:type="dxa"/>
        <w:jc w:val="left"/>
        <w:tblInd w:w="0" w:type="dxa"/>
        <w:tblLayout w:type="fixed"/>
        <w:tblCellMar>
          <w:top w:w="28" w:type="dxa"/>
          <w:left w:w="28" w:type="dxa"/>
          <w:bottom w:w="28" w:type="dxa"/>
          <w:right w:w="28" w:type="dxa"/>
        </w:tblCellMar>
      </w:tblPr>
      <w:tblGrid>
        <w:gridCol w:w="2578"/>
        <w:gridCol w:w="2263"/>
        <w:gridCol w:w="2269"/>
        <w:gridCol w:w="235"/>
        <w:gridCol w:w="804"/>
        <w:gridCol w:w="121"/>
        <w:gridCol w:w="121"/>
        <w:gridCol w:w="121"/>
        <w:gridCol w:w="121"/>
        <w:gridCol w:w="235"/>
        <w:gridCol w:w="887"/>
        <w:gridCol w:w="171"/>
      </w:tblGrid>
      <w:tr>
        <w:trPr/>
        <w:tc>
          <w:tcPr>
            <w:tcW w:w="257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FOR THE SIX MONTHS ENDED </w:t>
              <w:br/>
              <w:t>JUNE 30,</w:t>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(in thousands)</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Flows Provided by (Used in) Operating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Adjustments to reconcile net loss to net cash provided by (used in) operating activities: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Depreciation and amortization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Loss on disposal of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accretion of discounts/premiums on debt securities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Share-based compensation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Loss on investment in joint venture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Prepaid expenses, operating lease right-of-use assets and other 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Accrued expenses, tax liability and operating lease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Deferred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cash provided by (used in) operating activities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37,941 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(18,584)</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Flows Provided by Investing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Purchases of marketable securities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maturities of marketable securities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Investment in joint venture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cash provided by investing activities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14,116 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Flows Provided by Financing Activities: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the issuance of common stock under the stock purchase plan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the issuance of common stock from exercise of stock options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cash provided by financing activities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Net increase (decrease) in cash and cash equivalents </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61,475 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(4,458)</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and cash equivalents — beginning of period</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and cash equivalents — end of period</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92,849 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9,445 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BUSINESS AND LIQUIDITY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Rallybio Corporation and subsidiaries ("Rallybio", the "Company", "we", "our", or "us") is a clinical-stage biotechnology company comprised of experienced biopharma industry leaders with extensive research, development, and rare disease expertise with a mission to develop and commercialize life-transforming therapies for patients with severe and rare diseases. The Company's lead program, RLYB116, is a differentiated complement component 5 (“C5”) inhibitor with the potential to treat diseases of complement dysregulation. In addition, RLYB332, a long-acting matriptase-2 ("MTP-2") antibody for the treatment of diseases of iron overload is currently in preclinical development. In 2025, the Company completed a confirmatory pharmacokinetic ("PK") and pharmacodynamic ("PD") study of RLYB116 in healthy volunteers and reported data in the first quarter of 2026. In April 2025, the Company announced the discontinuation of its RLYB212 program for the prevention of fetal and neonatal alloimmune thrombocytopenia ("FNAIT") based on PK data from the Phase 2 clinical trial that demonstrated an inability of the RLYB212 dose regimen to achieve predicted target concentrations, as well as the minimum target concentration required for efficacy. In July 2025, the Company entered into a definitive agreement to sell its interest in REV102, an Ectonucleotide Pyrophosphatase/Phosphodiesterase 1 ("ENPP1") inhibitor in preclinical development for the treatment of patients with hypophosphatasia ("HPP"), to a subsidiary of its joint venture partner Recursion Pharmaceuticals, Inc. ("Recursion") (the "JV Sale").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On March 1, 2026, Rallybio entered into an Agreement and Plan of Merger and Reorganization with Candid Therapeutics, Inc. (“Candid”) (the “Candid Merger Agreement”) pursuant to which the parties intended to undertake a business combination (the “Candid Merger”).</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3, 2026, Candid terminated the Candid Merger Agreement concurrently with entering into a Permitted Alternative Agreement (as defined in the Candid Merger Agreement) with UCB S.A. As a result of the termination of the Candid Merger Agreement, Rallybio was paid on May 4, 2026 a $50.0 million Parent Termination Fee (as defined in the Candid Merger Agreement) and was reimbursed $0.4 million for certain expenses.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the termination of the Candid Merger Agreement, Rallybio restarted the evaluation of strategic alternatives. On May 31, 2026, Rallybio entered into an Agreement and Plan of Merger and Reorganization (the “Merger Agreement”) with Avenzo Therapeutics, Inc. (“Avenzo”), a clinical-stage biotechnology company developing next-generation oncology therapies, pursuant to which, among other matters, Farmington Merger Sub, Inc., a Delaware corporation and wholly owned subsidiary of Rallybio (“Merger Sub”), will merge with and into Avenzo (the “Merger”) and Avenzo will survive the Merger as a wholly owned subsidiary of Rallybio. In connection with the Merger, Rallybio will change its name to Avenzo Therapeutics, Inc. (together with its subsidiaries following the Merger, the “combined company”). The Merger is intended to qualify as a tax-free reorganization for U.S. federal income tax purposes. The Merger will become effective at the time the Certificate of Merger has been duly filed with the Secretary of State of the State of Delaware or such other date and time as is agreed upon by Rallybio and Avenzo and specified in the Certificate of Merger (such date, the “Closing Date,” and such time, the “Effective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Merger, Avenzo entered into a subscription agreement (the “Subscription Agreement”) with certain investors, pursuant to which Avenzo has agreed to sell, and such investors have agreed to purchase, shares of Avenzo common stock for an aggregate purchase price of $215.0 million, immediately prior to the Effective Time (such transaction, the “Concurrent Financing”). The closing of the Concurrent Financing is conditioned upon the satisfaction or waiver of each of the conditions to the closing of the Merger (the “Closing”) as well as certain other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Subject to the terms and conditions of the Merger Agreement, at the Effective Time, (a) each then-outstanding share of common stock or preferred stock of Avenzo (each such share, an “Avenzo Share”) (excluding any share described in clauses (b) or (c) below and Avenzo Shares held by stockholders who have exercised and perfected appraisal rights for such shares) will be converted into the right to receive a number of shares of Rallybio common stock, calculated in accordance with the Exchange Ratio as defined in the Merger Agreement, (b) each Avenzo Share issued in the Concurrent Financing will be converted into the right to receive a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 shares of Rallybio common stock calculated in accordance with the Merger Agreement, (c) any Avenzo Shares held as treasury shares or held or owned by Rallybio, Merger Sub or any subsidiary of Rallybio or Avenzo immediately prior to the Effective Time will be canceled and shall cease to exist, and no consideration shall be delivered in exchange therefor. Each then-outstanding option to purchase Avenzo Shares will be converted into an option to purchase Rallybio Common Stock, subject to adjustment as set forth in the Merger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Under the Exchange Ratio formula in the Merger Agreement, upon the Closing, on a pro forma basis and based upon the number of shares of Rallybio common stock expected to be issued in connection with the Merger and the Concurrent Financing, pre-Merger equityholders of Avenzo (other than investors in the Concurrent Financing) are expected to own approximately 56.6% of the combined company, pre-Merger equityholders of Rallybio will own approximately 2.8% of the combined company and the investors in the Concurrent Financing are expected to own approximately 40.6% (assuming gross proceeds from the Concurrent Financing of $215.0 million), in each case, calculated on a fully diluted basis, using the treasury stock method, and subject to certain assumptions, including (i) a valuation for Rallybio of $15.0 million (calculated after giving effect to the expected payment of the distribution of Rallybio's pre closing cash), (ii) a valuation for Avenzo of $300.0 million, and (iii) the relative capitalization of Rallybio and Avenzo. The percentage of the combined company that each party’s equityholders will own following the Closing is subject to certain adjustments as described in the Merger Agreement, including the amount of the final Rallybio Net Cash (as defined in the Merger Agreement) at Closing. At any time prior to the Closing, Rallybio will declare distributions</w:t>
      </w:r>
      <w:r>
        <w:rPr>
          <w:color w:val="000000"/>
        </w:rPr>
        <w:t xml:space="preserve"> </w:t>
      </w:r>
      <w:r>
        <w:rPr>
          <w:rFonts w:ascii="Arial;sans-serif" w:hAnsi="Arial;sans-serif"/>
          <w:b w:val="false"/>
          <w:color w:val="000000"/>
          <w:sz w:val="20"/>
        </w:rPr>
        <w:t>of Rallybio Net Cash to holders of Rallybio common stock and, if applicable, securities convertible into or exchangeable or exercisable for shares of Rallybio common stock outstanding as of the applicable record date, subject to the terms of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Immediately prior to the Effective Time, Rallybio and a rights agent (the “Rights Agent”) are expected to enter into a Contingent Value Rights Agreement (the “CVR Agreement”), pursuant to which holders of record of certain Rallybio securities as of the close of business on the last business day prior to the day on which the Effective Time occurs will receive one contingent value right (each, a “CVR”) for each outstanding share of Rallybio common stock, pre-funded warrant, Rallybio restricted stock unit or In the Money Parent Option (as defined in the Merger Agreement) held as of such date. Pursuant to the CVR Agreement, each CVR holder will be entitled to receive their pro rata share of all of the net proceeds (including cash or the value of stock to the extent listed on a national exchange, at the time of disposition), if any, received by Rallybio as a result of payments (“CVR Payments”) made to Rallybio of (i) any upfront, milestone, royalty and other payments received under any disposition agreement related to Rallybio’s pre-Merger assets (the “Legacy Assets”), and (ii) all of the cash proceeds, if any, received from Recursion under the Membership Interest Purchase Agreement, dated July 8, 2025, by and among Recursion, Exscientia Ventures I, Inc., Rallybio and Rallybio IPB, LLC. For a period of four months after the Closing Date, the combined company will use commercially reasonable efforts to effect the disposition of the Legacy Assets with respect to a third party that Rallybio had been in discussions with regarding a disposition prior to the Closing Date, subject to certain limitations. Such net proceeds will be subject to certain permitted deductions, including for applicable tax payments, certain expenses incurred or other liabilities borne by Rallybio or its affiliates in respect of the Legacy Assets, and losses incurred by Rallybio or its affiliates due to a third-party proceeding in connection with such disposition.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cash and cash equivalents of $92.8 million as of June 30, 2026. The Company currently expects that its cash and cash equivalents will be sufficient to fund its operating expenses and capital requirements for more than 12 months from the date these unaudited condensed consolidated financial statements are issued although we anticipate that the Merger will close prior to the end of 2026. The Company does not anticipate that its current cash and cash equivalents as of June 30, 2026 will be sufficient to fund any of its product candidates through regulatory approval, and if the Company continues to progress the development of its product candidates, it will need to raise substantial additional capital to complete the development and commercialization of those product candidates, if approved. If necessary, Rallybio may satisfy any future cash needs through the sale of equity securities, debt financings, corporate collaborations or license agreements, working capital lines of credit, grant funding, interest income earned on invested cash balances or a combination of one or more of these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2. SUMMARY OF SIGNIFICANT ACCOUNTING POLICIES BASIS OF PRESENTATION AND PRINCIPLES OF CONSOLIDATION </w:t>
      </w:r>
    </w:p>
    <w:p>
      <w:pPr>
        <w:pStyle w:val="TextBody"/>
        <w:bidi w:val="0"/>
        <w:spacing w:lineRule="auto" w:line="288" w:before="240" w:after="283"/>
        <w:jc w:val="left"/>
        <w:rPr/>
      </w:pPr>
      <w:r>
        <w:rPr>
          <w:rFonts w:ascii="Arial;sans-serif" w:hAnsi="Arial;sans-serif"/>
          <w:b/>
          <w:color w:val="000000"/>
          <w:sz w:val="20"/>
        </w:rPr>
        <w:t>Unaudited Financial Information —</w:t>
      </w:r>
      <w:r>
        <w:rPr>
          <w:color w:val="000000"/>
        </w:rPr>
        <w:t xml:space="preserve"> </w:t>
      </w:r>
      <w:r>
        <w:rPr>
          <w:rFonts w:ascii="Arial;sans-serif" w:hAnsi="Arial;sans-serif"/>
          <w:b w:val="false"/>
          <w:color w:val="000000"/>
          <w:sz w:val="20"/>
        </w:rPr>
        <w:t>The unaudited condensed consolidated financial statements of the Company have been prepared in conformity with accounting principles generally accepted in the United States of America ("GAAP"), and pursuant to the rules and regulations of the Securities and Exchange Commission (the "SEC"). Any reference in these notes to applicable guidance is meant to refer to GAAP as found in the Accounting Standards Codification (“ASC”) and Accounting Standards Updates ("ASU") promulgated by the Financial Accounting Standards Board ("FASB").</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the opinion of the Company, the information furnished reflects all adjustments, all of which are of a normal and recurring nature, necessary for a fair presentation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include the accounts of Rallybio Corporation and its subsidiaries. All intercompany balances and transactions have been eliminated in consolidation.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accompanying unaudited condensed consolidated financial statements and notes should be read in conjunction with Rallybio's Annual Report on Form 10-K for the year ended December 31, 2025 (our "Annual Report"). The Company's significant accounting policies are described in Note 2 of the Notes to the consolidated financial statements included in our Annual Report. There have been no new accounting policies, including the adoption of new accounting standards during the three and six months ended June 30, 2026, unless otherwise noted below, which could be expected to materially impact the Company's unaudited condensed consolidated financial 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Significant Accounting Policies —</w:t>
      </w: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Future Milestone and Royalty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 JV Sale, the Company received consideration including an estimated $3.0 million in future contingent milestones and royalty payments, which are recognized as a contingent consideration asset on the condensed consolidated balance sheets. The fair value of this contingent consideration was determined using a model that incorporates significant unobservable inputs based on Company estimates, external data, and management’s judgment and forecasts. Key assumptions in the model include the discount rate, the timing of expected cash flows, the probability of achieving the milestone and royalty payments, and projected future net revenues.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periodically reviews the carrying value of the contingent consideration when impairment indicators arise and records an impairment loss if the carrying amount materially exceeds the reassessed fair value. Increases in the carrying value are recognized only when contingent gains are realized. Since the contingent payments are tied to Phase 1 clinical study milestones and future royalty payments, the Company believes the likelihood of timely payment by Recursion is uncertain.</w:t>
      </w: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effective tax rates for the six months ended June 30, 2026 and 2025 were 9.6% and 0%, respectively. The primary drivers of the variance from the statutory rate were state taxes, Section162 disallowed compensation, nondeductible stock-based compensation, and valuation allowance. The Company will continue to assess its estimated annual effective tax rate each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assessing the realization of deferred tax assets, management considers whether it is more likely than not that some portion or all of the deferred tax assets will be realized. The ultimate realization of deferred tax assets is dependent upon the generation of future taxable income during the period in which those temporary differences become deductible. Management considers the Company’s history of cumulative net losses, the scheduled reversal of deferred tax liabilities, projected future taxable income and tax planning strategies in making this assessment. The Company has determined that, based on objective positive and negative evidence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available, it is more likely than not that the Company will not realize the benefits of all deferred tax assets. Accordingly, the Company has provided a full valuation allowance for the deferred tax assets. The Company is expecting to have net taxable income for the current year, resulting in current income tax expense for the period. This is primarily due to income resulting from the termination of the Candid Merger Agreement and the termination fee recorded during the quarter.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the Company has federal and state post-apportioned net operating loss (“NOL”) carryforwards of approximately $179.5 million and $167.3 million, respectively. All federal NOL carryforwards have an indefinite carryforward period. All state NOL carryforwards have a limited carryforward period and will begin to expire in 2038. As of June 30, 2026, the Company has federal general business tax credits of approximately $24.5 million which have a limited carryforward period and will begin to expire in 2039.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Utilization of the NOL carryforwards may be subject to a substantial annual limitation under Section 382 of the Internal Revenue Code of 1986 (the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completed a Section 382 study through June 30, 2021 and concluded that it underwent an ownership change as defined by the Code on March 27, 2020. The Company completed a high-level analysis for the period July 1, 2021 through June 30, 2026 and does not believe any additional ownership changes occurred during that period. Any future ownership changes that may occur after June 30, 2026, may limit the Company’s ability to utilize remaining tax attributes. Due to the existence of the valuation allowance, limitations created by the 2020 ownership change and any potential future ownership changes will not impact the Company’s effective tax rate.</w:t>
      </w:r>
    </w:p>
    <w:p>
      <w:pPr>
        <w:pStyle w:val="TextBody"/>
        <w:bidi w:val="0"/>
        <w:spacing w:lineRule="auto" w:line="288" w:before="240" w:after="283"/>
        <w:jc w:val="left"/>
        <w:rPr/>
      </w:pPr>
      <w:r>
        <w:rPr>
          <w:rFonts w:ascii="Arial;sans-serif" w:hAnsi="Arial;sans-serif"/>
          <w:b/>
          <w:color w:val="000000"/>
          <w:sz w:val="20"/>
        </w:rPr>
        <w:t>Recently Issued Accounting Pronouncements</w:t>
      </w:r>
      <w:r>
        <w:rPr>
          <w:color w:val="000000"/>
        </w:rPr>
        <w:t>—</w:t>
      </w:r>
      <w:r>
        <w:rPr>
          <w:rFonts w:ascii="Arial;sans-serif" w:hAnsi="Arial;sans-serif"/>
          <w:b w:val="false"/>
          <w:color w:val="000000"/>
          <w:sz w:val="20"/>
        </w:rPr>
        <w:t xml:space="preserve">In November 2024, the FASB issued ASU 2024-03, Income Statement-Reporting Comprehensive Income-Expense Disaggregation Disclosures (Subtopic 220-40): </w:t>
      </w:r>
      <w:r>
        <w:rPr>
          <w:rFonts w:ascii="Arial;sans-serif" w:hAnsi="Arial;sans-serif"/>
          <w:b w:val="false"/>
          <w:i/>
          <w:color w:val="000000"/>
          <w:sz w:val="20"/>
        </w:rPr>
        <w:t>Disaggregation of Income Statement Expenses (</w:t>
      </w:r>
      <w:r>
        <w:rPr>
          <w:rFonts w:ascii="Arial;sans-serif" w:hAnsi="Arial;sans-serif"/>
          <w:b w:val="false"/>
          <w:color w:val="000000"/>
          <w:sz w:val="20"/>
        </w:rPr>
        <w:t>"ASU 2024-03"). This ASU requires public entities to disclose additional transparency on certain costs and expenses. ASU 2024-03 is effective for annual periods beginning after December 15, 2026, and interim reporting periods beginning after December 15, 2027. Early adoption is permitted. The Company has chosen not to early adopt this standard and is currently evaluating the potential impact of adopting this standard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MARKETABLE SECURITIES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br/>
        <w:t>The amortized cost, gross unrealized holding gains, gross unrealized holding losses and fair value of our marketable securities by type of security as of June 30, 2026 and December 31, 2025 was as follows:</w:t>
      </w:r>
    </w:p>
    <w:tbl>
      <w:tblPr>
        <w:tblW w:w="10205" w:type="dxa"/>
        <w:jc w:val="left"/>
        <w:tblInd w:w="0" w:type="dxa"/>
        <w:tblLayout w:type="fixed"/>
        <w:tblCellMar>
          <w:top w:w="28" w:type="dxa"/>
          <w:left w:w="28" w:type="dxa"/>
          <w:bottom w:w="28" w:type="dxa"/>
          <w:right w:w="28" w:type="dxa"/>
        </w:tblCellMar>
      </w:tblPr>
      <w:tblGrid>
        <w:gridCol w:w="661"/>
        <w:gridCol w:w="539"/>
        <w:gridCol w:w="528"/>
        <w:gridCol w:w="471"/>
        <w:gridCol w:w="471"/>
        <w:gridCol w:w="473"/>
        <w:gridCol w:w="109"/>
        <w:gridCol w:w="109"/>
        <w:gridCol w:w="109"/>
        <w:gridCol w:w="234"/>
        <w:gridCol w:w="836"/>
        <w:gridCol w:w="121"/>
        <w:gridCol w:w="109"/>
        <w:gridCol w:w="109"/>
        <w:gridCol w:w="109"/>
        <w:gridCol w:w="489"/>
        <w:gridCol w:w="944"/>
        <w:gridCol w:w="255"/>
        <w:gridCol w:w="109"/>
        <w:gridCol w:w="109"/>
        <w:gridCol w:w="109"/>
        <w:gridCol w:w="507"/>
        <w:gridCol w:w="981"/>
        <w:gridCol w:w="265"/>
        <w:gridCol w:w="109"/>
        <w:gridCol w:w="109"/>
        <w:gridCol w:w="109"/>
        <w:gridCol w:w="211"/>
        <w:gridCol w:w="751"/>
        <w:gridCol w:w="160"/>
      </w:tblGrid>
      <w:tr>
        <w:trPr/>
        <w:tc>
          <w:tcPr>
            <w:tcW w:w="6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Unrealized Holding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Cash and cash equivalents </w:t>
            </w:r>
          </w:p>
        </w:tc>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53"/>
        <w:gridCol w:w="600"/>
        <w:gridCol w:w="588"/>
        <w:gridCol w:w="453"/>
        <w:gridCol w:w="453"/>
        <w:gridCol w:w="455"/>
        <w:gridCol w:w="109"/>
        <w:gridCol w:w="109"/>
        <w:gridCol w:w="109"/>
        <w:gridCol w:w="232"/>
        <w:gridCol w:w="828"/>
        <w:gridCol w:w="120"/>
        <w:gridCol w:w="109"/>
        <w:gridCol w:w="109"/>
        <w:gridCol w:w="109"/>
        <w:gridCol w:w="468"/>
        <w:gridCol w:w="904"/>
        <w:gridCol w:w="244"/>
        <w:gridCol w:w="109"/>
        <w:gridCol w:w="109"/>
        <w:gridCol w:w="109"/>
        <w:gridCol w:w="485"/>
        <w:gridCol w:w="937"/>
        <w:gridCol w:w="253"/>
        <w:gridCol w:w="109"/>
        <w:gridCol w:w="109"/>
        <w:gridCol w:w="109"/>
        <w:gridCol w:w="211"/>
        <w:gridCol w:w="751"/>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Unrealized Holding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30,537 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values of marketable securities by classification in the condensed consolidated balance sheets as of June 30, 2026 and December 31, 2025 was as follows:</w:t>
      </w:r>
    </w:p>
    <w:tbl>
      <w:tblPr>
        <w:tblW w:w="5771" w:type="dxa"/>
        <w:jc w:val="left"/>
        <w:tblInd w:w="0" w:type="dxa"/>
        <w:tblLayout w:type="fixed"/>
        <w:tblCellMar>
          <w:top w:w="28" w:type="dxa"/>
          <w:left w:w="28" w:type="dxa"/>
          <w:bottom w:w="28" w:type="dxa"/>
          <w:right w:w="28" w:type="dxa"/>
        </w:tblCellMar>
      </w:tblPr>
      <w:tblGrid>
        <w:gridCol w:w="895"/>
        <w:gridCol w:w="789"/>
        <w:gridCol w:w="791"/>
        <w:gridCol w:w="239"/>
        <w:gridCol w:w="852"/>
        <w:gridCol w:w="123"/>
        <w:gridCol w:w="109"/>
        <w:gridCol w:w="109"/>
        <w:gridCol w:w="109"/>
        <w:gridCol w:w="332"/>
        <w:gridCol w:w="1181"/>
        <w:gridCol w:w="242"/>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7,193 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23,362 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values of available-for-sale debt securities as of June 30, 2026 and December 31, 2025, by contractual maturity, are summarized as follows:</w:t>
      </w:r>
    </w:p>
    <w:tbl>
      <w:tblPr>
        <w:tblW w:w="5426" w:type="dxa"/>
        <w:jc w:val="left"/>
        <w:tblInd w:w="0" w:type="dxa"/>
        <w:tblLayout w:type="fixed"/>
        <w:tblCellMar>
          <w:top w:w="28" w:type="dxa"/>
          <w:left w:w="28" w:type="dxa"/>
          <w:bottom w:w="28" w:type="dxa"/>
          <w:right w:w="28" w:type="dxa"/>
        </w:tblCellMar>
      </w:tblPr>
      <w:tblGrid>
        <w:gridCol w:w="770"/>
        <w:gridCol w:w="679"/>
        <w:gridCol w:w="681"/>
        <w:gridCol w:w="239"/>
        <w:gridCol w:w="852"/>
        <w:gridCol w:w="123"/>
        <w:gridCol w:w="109"/>
        <w:gridCol w:w="109"/>
        <w:gridCol w:w="109"/>
        <w:gridCol w:w="332"/>
        <w:gridCol w:w="1181"/>
        <w:gridCol w:w="242"/>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65,981 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aggregate fair value of available-for-sale debt securities in an unrealized loss position as of December 31, 2025 was $0.7 million. There was no aggregate fair value of available-for-sale debt securities in an unrealized loss position as of June 30, 2026. As of June 30, 2026, the Company did not have any investments in a continuous unrealized loss position for more than twelve months. No allowance for credit loss was recorded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BALANCE SHEET COMPONENTS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br/>
        <w:t>Prepaid expenses and other current assets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consisted of the following as of June 30, 2026 and December 31, 2025: </w:t>
      </w:r>
    </w:p>
    <w:tbl>
      <w:tblPr>
        <w:tblW w:w="5786" w:type="dxa"/>
        <w:jc w:val="left"/>
        <w:tblInd w:w="0" w:type="dxa"/>
        <w:tblLayout w:type="fixed"/>
        <w:tblCellMar>
          <w:top w:w="28" w:type="dxa"/>
          <w:left w:w="28" w:type="dxa"/>
          <w:bottom w:w="28" w:type="dxa"/>
          <w:right w:w="28" w:type="dxa"/>
        </w:tblCellMar>
      </w:tblPr>
      <w:tblGrid>
        <w:gridCol w:w="900"/>
        <w:gridCol w:w="794"/>
        <w:gridCol w:w="796"/>
        <w:gridCol w:w="265"/>
        <w:gridCol w:w="813"/>
        <w:gridCol w:w="137"/>
        <w:gridCol w:w="109"/>
        <w:gridCol w:w="109"/>
        <w:gridCol w:w="109"/>
        <w:gridCol w:w="365"/>
        <w:gridCol w:w="1120"/>
        <w:gridCol w:w="269"/>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prepaids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Other current assets consists of approximately $1.0 million of accounts receivable related to clinical development costs expected to be returned to the Company in the third quarter of 2026, approximately $2.2 million related to a contingent payment receivable tied to a Phase 1 clinical study milestone in connection with the JV Sale, and approximately $0.3 million of interest income and other 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Accrued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Accrued expenses consisted of the following as of June 30, 2026 and December 31, 2025: </w:t>
      </w:r>
    </w:p>
    <w:tbl>
      <w:tblPr>
        <w:tblW w:w="6581" w:type="dxa"/>
        <w:jc w:val="left"/>
        <w:tblInd w:w="0" w:type="dxa"/>
        <w:tblLayout w:type="fixed"/>
        <w:tblCellMar>
          <w:top w:w="28" w:type="dxa"/>
          <w:left w:w="28" w:type="dxa"/>
          <w:bottom w:w="28" w:type="dxa"/>
          <w:right w:w="28" w:type="dxa"/>
        </w:tblCellMar>
      </w:tblPr>
      <w:tblGrid>
        <w:gridCol w:w="1188"/>
        <w:gridCol w:w="1046"/>
        <w:gridCol w:w="1051"/>
        <w:gridCol w:w="265"/>
        <w:gridCol w:w="813"/>
        <w:gridCol w:w="137"/>
        <w:gridCol w:w="109"/>
        <w:gridCol w:w="109"/>
        <w:gridCol w:w="109"/>
        <w:gridCol w:w="365"/>
        <w:gridCol w:w="1120"/>
        <w:gridCol w:w="269"/>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related expenses</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2,334 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3,791 </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5. STOCKHOLDERS' EQUITY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br/>
        <w:t>Common Stock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200,000,000 shares of common stock authorized as of June 30, 2026 and December 31, 2025, of which 5,306,894 and 5,283,321 shares were issued and outstanding as of June 30, 2026 and December 31, 2025, respectively.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50,000,000 shares of preferred stock authorized as of June 30, 2026 and December 31, 2025, of which no shares were issued or outstanding as of June 30, 2026 and December 31, 2025.</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Pre-Funded Warrants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a follow-on offering, the Company entered into an agreement with certain investors to issue pre-funded warrants in lieu of common stock to purchase up to an aggregate of 416,673 shares of common stock at a price of $47.9992, which represents the per share public offering price of the November 2022 follow-on offering for common stock less a $0.0008 per share exercise price for each pre-funded warrant.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the Company subject to the terms of such pre-funded warrants, provided that such percentage may in no event exceed 19.99%.</w:t>
      </w:r>
    </w:p>
    <w:p>
      <w:pPr>
        <w:pStyle w:val="TextBody"/>
        <w:bidi w:val="0"/>
        <w:spacing w:lineRule="auto" w:line="288" w:before="240" w:after="283"/>
        <w:jc w:val="left"/>
        <w:rPr/>
      </w:pPr>
      <w:r>
        <w:rPr>
          <w:rFonts w:ascii="Arial;sans-serif" w:hAnsi="Arial;sans-serif"/>
          <w:b w:val="false"/>
          <w:color w:val="000000"/>
          <w:sz w:val="20"/>
        </w:rPr>
        <w:t xml:space="preserve">The Company's pre-funded warrant is a freestanding instrument that does not meet the definition of a liability pursuant to ASC 480, </w:t>
      </w:r>
      <w:r>
        <w:rPr>
          <w:rFonts w:ascii="Arial;sans-serif" w:hAnsi="Arial;sans-serif"/>
          <w:b w:val="false"/>
          <w:i/>
          <w:color w:val="000000"/>
          <w:sz w:val="20"/>
        </w:rPr>
        <w:t xml:space="preserve">Distinguishing Liabilities from Equity </w:t>
      </w:r>
      <w:r>
        <w:rPr>
          <w:rFonts w:ascii="Arial;sans-serif" w:hAnsi="Arial;sans-serif"/>
          <w:b w:val="false"/>
          <w:color w:val="000000"/>
          <w:sz w:val="20"/>
        </w:rPr>
        <w:t>("ASC 480")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and does not meet the definition of a derivative pursuant to ASC 815, </w:t>
      </w:r>
      <w:r>
        <w:rPr>
          <w:rFonts w:ascii="Arial;sans-serif" w:hAnsi="Arial;sans-serif"/>
          <w:b w:val="false"/>
          <w:i/>
          <w:color w:val="000000"/>
          <w:sz w:val="20"/>
        </w:rPr>
        <w:t xml:space="preserve">Derivatives and Hedging </w:t>
      </w:r>
      <w:r>
        <w:rPr>
          <w:rFonts w:ascii="Arial;sans-serif" w:hAnsi="Arial;sans-serif"/>
          <w:b w:val="false"/>
          <w:color w:val="000000"/>
          <w:sz w:val="20"/>
        </w:rPr>
        <w:t>("ASC 815"). The pre-funded warrant is indexed to the Company’s common stock and meets all other conditions for equity classification under ASC 480 and ASC 815. Accordingly, the pre-funded warrant was classified as equity and accounted for as a component of additional paid-in capital at the time of issuance. All of the pre-funded warrants related to the November 2022 follow-on offering remain outstanding and unexercised as of June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Share-based Compensation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Share-based compensation is comprised of the Company's stock options, restricted stock awards, restricted stock units and shares issued pursuant to the employee stock purchase plan, and is classified in the condensed consolidated statements of operations and comprehensive income (loss) for the three and six months ended June 30, 2026 and 2025 was as follows: </w:t>
      </w:r>
    </w:p>
    <w:tbl>
      <w:tblPr>
        <w:tblW w:w="8720" w:type="dxa"/>
        <w:jc w:val="left"/>
        <w:tblInd w:w="0" w:type="dxa"/>
        <w:tblLayout w:type="fixed"/>
        <w:tblCellMar>
          <w:top w:w="28" w:type="dxa"/>
          <w:left w:w="28" w:type="dxa"/>
          <w:bottom w:w="28" w:type="dxa"/>
          <w:right w:w="28" w:type="dxa"/>
        </w:tblCellMar>
      </w:tblPr>
      <w:tblGrid>
        <w:gridCol w:w="900"/>
        <w:gridCol w:w="794"/>
        <w:gridCol w:w="796"/>
        <w:gridCol w:w="288"/>
        <w:gridCol w:w="658"/>
        <w:gridCol w:w="149"/>
        <w:gridCol w:w="149"/>
        <w:gridCol w:w="149"/>
        <w:gridCol w:w="149"/>
        <w:gridCol w:w="288"/>
        <w:gridCol w:w="884"/>
        <w:gridCol w:w="149"/>
        <w:gridCol w:w="109"/>
        <w:gridCol w:w="109"/>
        <w:gridCol w:w="109"/>
        <w:gridCol w:w="239"/>
        <w:gridCol w:w="733"/>
        <w:gridCol w:w="123"/>
        <w:gridCol w:w="123"/>
        <w:gridCol w:w="123"/>
        <w:gridCol w:w="123"/>
        <w:gridCol w:w="239"/>
        <w:gridCol w:w="733"/>
        <w:gridCol w:w="123"/>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2021 Equity Incentive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2021, the board of directors adopted the Rallybio Corporation 2021 Equity Incentive Plan (the "2021 Plan"). The 2021 Plan initially reserved 680,043 shares of the Company's common stock that have been issued in respect of outstanding equity awards granted prior to the Company's initial public offering ("IPO"), and for future issuances of shares to employees, directors and consultants in the form of stock options, SARs, restricted and unrestricted stock and stock units, performance awards and other awards that are convertible into or otherwise based on the Company's common stock. Dividend equivalents may also be provided in connection with awards under the 2021 Plan. The share pool will automatically increase on January 1st of each year until 2031, by the lesser of (i) five percent of the number of shares of the Company's common stock outstanding as of such date and (ii) the number of shares of the Company's common stock determined by the board of directors on or prior to such date. On January 1, 2026 and January 1, 2025, the 2021 Plan share pool was automatically increased by 264,166 and 259,438 shares, respectively. As of June 30, 2026, the total number of shares of the Company's common stock that were issuable under the 2021 Plan was 1,501,008 shares, of which 846,407 shares remained available for future issuance.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stock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034"/>
        <w:gridCol w:w="865"/>
        <w:gridCol w:w="818"/>
        <w:gridCol w:w="109"/>
        <w:gridCol w:w="109"/>
        <w:gridCol w:w="109"/>
        <w:gridCol w:w="506"/>
        <w:gridCol w:w="475"/>
        <w:gridCol w:w="477"/>
        <w:gridCol w:w="109"/>
        <w:gridCol w:w="109"/>
        <w:gridCol w:w="109"/>
        <w:gridCol w:w="344"/>
        <w:gridCol w:w="1057"/>
        <w:gridCol w:w="180"/>
        <w:gridCol w:w="109"/>
        <w:gridCol w:w="109"/>
        <w:gridCol w:w="109"/>
        <w:gridCol w:w="526"/>
        <w:gridCol w:w="526"/>
        <w:gridCol w:w="528"/>
        <w:gridCol w:w="109"/>
        <w:gridCol w:w="109"/>
        <w:gridCol w:w="109"/>
        <w:gridCol w:w="454"/>
        <w:gridCol w:w="454"/>
        <w:gridCol w:w="653"/>
      </w:tblGrid>
      <w:tr>
        <w:trPr/>
        <w:tc>
          <w:tcPr>
            <w:tcW w:w="103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Number of Option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Intrinsic Value</w:t>
              <w:br/>
              <w:t>(in thousands)</w:t>
            </w:r>
          </w:p>
        </w:tc>
      </w:tr>
      <w:tr>
        <w:trPr/>
        <w:tc>
          <w:tcPr>
            <w:tcW w:w="2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stock options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stock options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$2,348</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 stock options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w:t>
            </w:r>
          </w:p>
        </w:tc>
      </w:tr>
    </w:tbl>
    <w:p>
      <w:pPr>
        <w:pStyle w:val="TextBody"/>
        <w:bidi w:val="0"/>
        <w:spacing w:lineRule="auto" w:line="288" w:before="240" w:after="283"/>
        <w:jc w:val="left"/>
        <w:rPr/>
      </w:pPr>
      <w:r>
        <w:rPr>
          <w:rFonts w:ascii="Arial;sans-serif" w:hAnsi="Arial;sans-serif"/>
          <w:b w:val="false"/>
          <w:color w:val="000000"/>
          <w:sz w:val="20"/>
        </w:rPr>
        <w:t>The aggregate intrinsic value is calculated as the difference between the exercise price of the underlying stock options and the estimated fair value of the Company's common stock. Stock options outstanding with an exercise price below the closing price as of June 30, 2026 had an intrinsic value of approximately $2.3 million. Stock options outstanding and exercisable with an exercise price below the closing price as of June 30, 2026 had an intrinsic value of $1.3 million. These values are based on a common stock fair value of $16.00 per share, which was the closing price of the Company's common stock on June 30, 2026. Using the Black-Scholes option pricing model, the weighted-average grant date fair value of stock options granted during the six months ended June 30, 2026 and 2025 was $3.60 per share and $4.96 per share, respectively. As of June 30, 2026, there was unrecognized share-based compensation expense related to nonvested stock options of</w:t>
      </w:r>
      <w:r>
        <w:rPr>
          <w:color w:val="EE2724"/>
        </w:rPr>
        <w:t xml:space="preserve"> </w:t>
      </w:r>
      <w:r>
        <w:rPr>
          <w:rFonts w:ascii="Arial;sans-serif" w:hAnsi="Arial;sans-serif"/>
          <w:b w:val="false"/>
          <w:color w:val="000000"/>
          <w:sz w:val="20"/>
        </w:rPr>
        <w:t>$1.8 million</w:t>
      </w:r>
      <w:r>
        <w:rPr>
          <w:rFonts w:ascii="Arial;sans-serif" w:hAnsi="Arial;sans-serif"/>
          <w:b w:val="false"/>
          <w:color w:val="EE2724"/>
          <w:sz w:val="20"/>
        </w:rPr>
        <w:t xml:space="preserve">, </w:t>
      </w:r>
      <w:r>
        <w:rPr>
          <w:rFonts w:ascii="Arial;sans-serif" w:hAnsi="Arial;sans-serif"/>
          <w:b w:val="false"/>
          <w:color w:val="000000"/>
          <w:sz w:val="20"/>
        </w:rPr>
        <w:t>which the Company expects to recognize over a weighted-average period of approximately 1.7 years</w:t>
      </w:r>
      <w:r>
        <w:rPr>
          <w:rFonts w:ascii="Arial;sans-serif" w:hAnsi="Arial;sans-serif"/>
          <w:b w:val="false"/>
          <w:color w:val="EE2724"/>
          <w:sz w:val="20"/>
        </w:rPr>
        <w:t>.</w:t>
      </w:r>
      <w:r>
        <w:rPr>
          <w:color w:val="000000"/>
        </w:rPr>
        <w:t xml:space="preserve"> </w:t>
      </w:r>
      <w:r>
        <w:rPr>
          <w:rFonts w:ascii="Arial;sans-serif" w:hAnsi="Arial;sans-serif"/>
          <w:b w:val="false"/>
          <w:color w:val="000000"/>
          <w:sz w:val="20"/>
        </w:rPr>
        <w:t>As of June 30, 2026, in connection with the proposed Merger, all nonvested stock options are expected to vest and the remaining expense will be recognized on the date of the Closing.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 of the stock options granted during the six months ended June 30, 2026 and 2025 was determined using the Black-Scholes option pricing model with the following assumptions:</w:t>
      </w:r>
    </w:p>
    <w:tbl>
      <w:tblPr>
        <w:tblW w:w="5971" w:type="dxa"/>
        <w:jc w:val="left"/>
        <w:tblInd w:w="0" w:type="dxa"/>
        <w:tblLayout w:type="fixed"/>
        <w:tblCellMar>
          <w:top w:w="28" w:type="dxa"/>
          <w:left w:w="28" w:type="dxa"/>
          <w:bottom w:w="28" w:type="dxa"/>
          <w:right w:w="28" w:type="dxa"/>
        </w:tblCellMar>
      </w:tblPr>
      <w:tblGrid>
        <w:gridCol w:w="791"/>
        <w:gridCol w:w="697"/>
        <w:gridCol w:w="701"/>
        <w:gridCol w:w="109"/>
        <w:gridCol w:w="109"/>
        <w:gridCol w:w="109"/>
        <w:gridCol w:w="290"/>
        <w:gridCol w:w="290"/>
        <w:gridCol w:w="290"/>
        <w:gridCol w:w="277"/>
        <w:gridCol w:w="277"/>
        <w:gridCol w:w="277"/>
        <w:gridCol w:w="514"/>
        <w:gridCol w:w="514"/>
        <w:gridCol w:w="726"/>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109.21%</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91.88% - 119.61%</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5.25</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5.27 - 6.02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 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3.68%</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4.03% - 4.39%</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$4.45</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$2.40 - $7.60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the status of the Company's nonvested restricted common stock units at June 30, 2026 and changes during the six months ended June 30, 2026 was as follows:</w:t>
      </w:r>
    </w:p>
    <w:tbl>
      <w:tblPr>
        <w:tblW w:w="9173" w:type="dxa"/>
        <w:jc w:val="left"/>
        <w:tblInd w:w="0" w:type="dxa"/>
        <w:tblLayout w:type="fixed"/>
        <w:tblCellMar>
          <w:top w:w="28" w:type="dxa"/>
          <w:left w:w="28" w:type="dxa"/>
          <w:bottom w:w="28" w:type="dxa"/>
          <w:right w:w="28" w:type="dxa"/>
        </w:tblCellMar>
      </w:tblPr>
      <w:tblGrid>
        <w:gridCol w:w="1783"/>
        <w:gridCol w:w="1564"/>
        <w:gridCol w:w="1573"/>
        <w:gridCol w:w="109"/>
        <w:gridCol w:w="109"/>
        <w:gridCol w:w="109"/>
        <w:gridCol w:w="233"/>
        <w:gridCol w:w="233"/>
        <w:gridCol w:w="238"/>
        <w:gridCol w:w="109"/>
        <w:gridCol w:w="109"/>
        <w:gridCol w:w="109"/>
        <w:gridCol w:w="674"/>
        <w:gridCol w:w="1727"/>
        <w:gridCol w:w="494"/>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Weighted-Average Grant Date Fair </w:t>
              <w:br/>
              <w:t>Value Per Share</w:t>
            </w:r>
          </w:p>
        </w:tc>
      </w:tr>
      <w:tr>
        <w:trPr/>
        <w:tc>
          <w:tcPr>
            <w:tcW w:w="4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restricted stock units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restricted stock units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As of June 30, 2026, there was unrecognized share-based compensation expense related to nonvested restricted stock units of $0.2 million, which the Company expects to recognize over a weighted-average period of approximately 1.9 years</w:t>
      </w:r>
      <w:r>
        <w:rPr>
          <w:rFonts w:ascii="Arial;sans-serif" w:hAnsi="Arial;sans-serif"/>
          <w:b w:val="false"/>
          <w:color w:val="EE2724"/>
          <w:sz w:val="20"/>
        </w:rPr>
        <w:t xml:space="preserve">. </w:t>
      </w:r>
      <w:r>
        <w:rPr>
          <w:rFonts w:ascii="Arial;sans-serif" w:hAnsi="Arial;sans-serif"/>
          <w:b w:val="false"/>
          <w:color w:val="000000"/>
          <w:sz w:val="20"/>
        </w:rPr>
        <w:t>As of June 30, 2026, in connection with the proposed Merger, all nonvested restricted stock units are expected to vest and the remaining expense will be recognized on the Closing Date.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2021 Employee Stock Purchase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Company's IPO, the board of directors adopted the Rallybio Corporation 2021 Employee Stock Purchase Plan (the "2021 ESPP"), which initially reserved 36,415 shares of the Company's common stock for future issuances under this plan. The share pool will automatically increase on January 1st of each year from 2022 to 2031, by the lesser of (i) one percent of the number of shares of the Company's common stock outstanding as of such date, (ii) 72,831 shares of the Company’s common stock and (iii) the number of shares of the Company's common stock determined by the board of directors on or prior to such date. The 2021 ESPP share pool did not increase on January 1, 2026 or January 1, 2025. As of June 30, 2026, the total number of shares of the Company's common stock available for future issuance under the 2021 ESPP was 91,479 shares. During the six months ended June 30, 2026 and 2025, the Company issued 2,802 and 4,375, respectively, of the Company's common stock under the 2021 ESPP.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2021 ESPP allows eligible participants to purchase shares of the Company's common stock through authorized payroll deductions. The purchase price of the shares will not be less than 85% of the lower of the fair market value of the Company's common stock on the first day of an offering or on the date of the 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6. INVESTMENT IN JOINT VENTURE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July 2025, the Company entered into a Membership Interest Purchase Agreement (the "ENPP1 Purchase Agreement") to sell its interest in REV102, an ENPP1 inhibitor in preclinical development for the treatment of patients with HPP, to Recursion Exscientia Ventures I, Inc, an indirect wholly-owned subsidiary of Recursion ("Buyer"). In connection with the JV Sale, the Company received compensation in the form of Recursion common stock (which is a non-cash investing activity). The Company subsequently sold the Recursion common stock for cash proceeds of $20.0 million in the third quarter of 2025 which included $7.5 million from an upfront payment and $12.5 million from a milestone payment related to the initiation of additional preclinical studies. The Company is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 Ventures I, LLC, a limited liability company (“REV-I”). The Company may also be eligible to receive certain payments in the event of Recursion’s sale of the REV102 program.</w:t>
      </w:r>
    </w:p>
    <w:p>
      <w:pPr>
        <w:pStyle w:val="TextBody"/>
        <w:bidi w:val="0"/>
        <w:spacing w:lineRule="auto" w:line="288" w:before="240" w:after="283"/>
        <w:jc w:val="left"/>
        <w:rPr/>
      </w:pPr>
      <w:r>
        <w:rPr>
          <w:rFonts w:ascii="Arial;sans-serif" w:hAnsi="Arial;sans-serif"/>
          <w:b w:val="false"/>
          <w:color w:val="000000"/>
          <w:sz w:val="20"/>
        </w:rPr>
        <w:t xml:space="preserve">The Company evaluated the JV Sale under ASC 860, </w:t>
      </w:r>
      <w:r>
        <w:rPr>
          <w:rFonts w:ascii="Arial;sans-serif" w:hAnsi="Arial;sans-serif"/>
          <w:b w:val="false"/>
          <w:i/>
          <w:color w:val="000000"/>
          <w:sz w:val="20"/>
        </w:rPr>
        <w:t xml:space="preserve">Transfers and Servicing of Financial Assets </w:t>
      </w:r>
      <w:r>
        <w:rPr>
          <w:rFonts w:ascii="Arial;sans-serif" w:hAnsi="Arial;sans-serif"/>
          <w:b w:val="false"/>
          <w:color w:val="000000"/>
          <w:sz w:val="20"/>
        </w:rPr>
        <w:t>(“ASC 860”). Based on the Company’s evaluation of the JV Sale under ASC 860, the Company recognized a gain from the sale of its equity interests in REV102 of $22.4 million, based on the excess of the total net consideration allocated to the sale of the Company’s equity interests (based on relative fair value) of $23.0 million over the carrying value of the equity interests sold of $0.6 million. The total net consideration of $23.0 million included cash received of $20.0 million, plus an estimated $3.0 million representing the fair value of the future milestone payments and future royalties (which is a non-cash investing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pPr>
      <w:r>
        <w:rPr>
          <w:rFonts w:ascii="Arial;sans-serif" w:hAnsi="Arial;sans-serif"/>
          <w:b w:val="false"/>
          <w:color w:val="000000"/>
          <w:sz w:val="20"/>
        </w:rPr>
        <w:t>The contingent consideration was initially measured at fair value using a probability based present value model of the risk-adjusted estimated cash flows, with a discount rate of 15.4%. This valuation model relied on significant unobservable inputs (level 3 inputs) based on management’s estimates, which were informed by external data, judgment, and forecasts. Key assumptions included the probability of achieving the milestone and royalties, timing of cash flows, discount rate, and forecasted net revenues. The fair value of the contingent consideration is a non-recurring fair value measurement and is recorded as other assets and other assets, non-current on the Company's condensed consolidated balance sheets and as gain on sale of joint venture and other income within the Company's condensed consolidated statements of operations and comprehensive income (loss)</w:t>
      </w:r>
      <w:r>
        <w:rPr>
          <w:rFonts w:ascii="Arial;sans-serif" w:hAnsi="Arial;sans-serif"/>
          <w:b w:val="false"/>
          <w:color w:val="EE2724"/>
          <w:sz w:val="20"/>
        </w:rPr>
        <w:t>.</w:t>
      </w:r>
    </w:p>
    <w:p>
      <w:pPr>
        <w:pStyle w:val="TextBody"/>
        <w:bidi w:val="0"/>
        <w:spacing w:lineRule="auto" w:line="288" w:before="240" w:after="283"/>
        <w:jc w:val="left"/>
        <w:rPr/>
      </w:pPr>
      <w:r>
        <w:rPr>
          <w:rFonts w:ascii="Arial;sans-serif" w:hAnsi="Arial;sans-serif"/>
          <w:b w:val="false"/>
          <w:color w:val="000000"/>
          <w:sz w:val="20"/>
        </w:rPr>
        <w:t>Prior to the JV Sale, the Company, through one of its wholly-owned subsidiaries, had a 50% interest of the joint venture entity, REV-I. For the three and six months ended June 30, 2026, the Company did not fund REV-I due to the JV Sale. For the three and six months ended June 30, 2025, the Company funded $0.5 million and $1.5 million, respectively, associated with the Company's commitment and its share of REV-I development costs.</w:t>
      </w:r>
      <w:r>
        <w:rPr>
          <w:color w:val="EE2724"/>
        </w:rPr>
        <w:t xml:space="preserve"> </w:t>
      </w:r>
      <w:r>
        <w:rPr>
          <w:rFonts w:ascii="Arial;sans-serif" w:hAnsi="Arial;sans-serif"/>
          <w:b w:val="false"/>
          <w:color w:val="000000"/>
          <w:sz w:val="20"/>
        </w:rPr>
        <w:t>The Company did not provide any additional financial support outside of capital contributions to REV-I during the three and six months ended June 30, 2026 and 2025. However, in connection with the joint venture, the Company provided certain scientific and finance and accounting related support which was reimbursed by REV-I to the Company and included in other income on the condensed consolidated statements of operations and comprehensive income (loss). For the three and six months ended June 30, 2026 the Company did not provide such support due to the JV Sale. For the three and six months ended June 30, 2025, the Company recorded $0.1 million and $0.3 million, respectively, related to such support</w:t>
      </w:r>
      <w:r>
        <w:rPr>
          <w:rFonts w:ascii="Arial;sans-serif" w:hAnsi="Arial;sans-serif"/>
          <w:b w:val="false"/>
          <w:color w:val="EE2724"/>
          <w:sz w:val="20"/>
        </w:rPr>
        <w:t>.</w:t>
      </w:r>
      <w:r>
        <w:rPr>
          <w:color w:val="000000"/>
        </w:rPr>
        <w:t xml:space="preserve"> </w:t>
      </w:r>
      <w:r>
        <w:rPr>
          <w:rFonts w:ascii="Arial;sans-serif" w:hAnsi="Arial;sans-serif"/>
          <w:b w:val="false"/>
          <w:color w:val="000000"/>
          <w:sz w:val="20"/>
        </w:rPr>
        <w:t>Prior to the JV Sale, the Company held a 50% interest in the joint venture and based on management’s analysis, the Company was not the primary beneficiary of REV-I and accordingly, the entity was not consolidated in the Company's condensed consolidated financial statements</w:t>
      </w:r>
      <w:r>
        <w:rPr>
          <w:rFonts w:ascii="Arial;sans-serif" w:hAnsi="Arial;sans-serif"/>
          <w:b w:val="false"/>
          <w:color w:val="EE2724"/>
          <w:sz w:val="20"/>
        </w:rPr>
        <w:t xml:space="preserv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three and six months ended June 30, 2026, the Company did not have an allocable share of REV-I losses due to the JV Sale. For the three and six months ended June 30, 2025, the Company recorded its allocable share of REV-I's losses which totaled $0.3 million and $0.9 million, respectively. These losses were recorded as a loss on investment in joint venture within the condensed consolidated statements of operations and comprehensive income (loss). After recognition of its share of losses for the period, there was no carrying value remaining of the REV-I investment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7. COMMITMENTS AND CONTINGENCIES </w:t>
      </w:r>
    </w:p>
    <w:p>
      <w:pPr>
        <w:pStyle w:val="TextBody"/>
        <w:bidi w:val="0"/>
        <w:spacing w:lineRule="auto" w:line="288" w:before="0" w:after="0"/>
        <w:jc w:val="left"/>
        <w:rPr/>
      </w:pPr>
      <w:r>
        <w:rPr>
          <w:rFonts w:ascii="Arial;sans-serif" w:hAnsi="Arial;sans-serif"/>
          <w:b/>
          <w:color w:val="000000"/>
          <w:sz w:val="20"/>
        </w:rPr>
        <w:br/>
        <w:t xml:space="preserve">Purchase Commitments </w:t>
      </w:r>
      <w:r>
        <w:rPr>
          <w:color w:val="000000"/>
        </w:rPr>
        <w:t xml:space="preserve">— </w:t>
      </w:r>
      <w:r>
        <w:rPr>
          <w:rFonts w:ascii="Arial;sans-serif" w:hAnsi="Arial;sans-serif"/>
          <w:b w:val="false"/>
          <w:color w:val="000000"/>
          <w:sz w:val="20"/>
        </w:rPr>
        <w:t xml:space="preserve">The Company enters contracts in the normal course of business with contract research organizations and other third-party vendors for clinical trials and testing and manufacturing services. These contracts generally do not contain minimum purchase commitments and are cancellable by the Company upon written notice. Payments that may be due upon cancellation consist of payments for services provided or expenses incurred prior to cancellation. As of June 30, 2026 and December 31, 2025, there were no amounts accrued related to termination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NET INCOME (LOSS) PER COMMON SHARE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br/>
        <w:t xml:space="preserve">Basic and diluted net loss per common share for the three and six months ended June 30, 2026 and 2025 was calculated as follows: </w:t>
      </w:r>
    </w:p>
    <w:tbl>
      <w:tblPr>
        <w:tblW w:w="10205" w:type="dxa"/>
        <w:jc w:val="left"/>
        <w:tblInd w:w="0" w:type="dxa"/>
        <w:tblLayout w:type="fixed"/>
        <w:tblCellMar>
          <w:top w:w="28" w:type="dxa"/>
          <w:left w:w="28" w:type="dxa"/>
          <w:bottom w:w="28" w:type="dxa"/>
          <w:right w:w="28" w:type="dxa"/>
        </w:tblCellMar>
      </w:tblPr>
      <w:tblGrid>
        <w:gridCol w:w="1696"/>
        <w:gridCol w:w="1252"/>
        <w:gridCol w:w="1256"/>
        <w:gridCol w:w="234"/>
        <w:gridCol w:w="833"/>
        <w:gridCol w:w="120"/>
        <w:gridCol w:w="120"/>
        <w:gridCol w:w="120"/>
        <w:gridCol w:w="120"/>
        <w:gridCol w:w="234"/>
        <w:gridCol w:w="760"/>
        <w:gridCol w:w="120"/>
        <w:gridCol w:w="109"/>
        <w:gridCol w:w="109"/>
        <w:gridCol w:w="109"/>
        <w:gridCol w:w="212"/>
        <w:gridCol w:w="757"/>
        <w:gridCol w:w="109"/>
        <w:gridCol w:w="109"/>
        <w:gridCol w:w="109"/>
        <w:gridCol w:w="109"/>
        <w:gridCol w:w="212"/>
        <w:gridCol w:w="794"/>
        <w:gridCol w:w="109"/>
        <w:gridCol w:w="109"/>
        <w:gridCol w:w="109"/>
        <w:gridCol w:w="109"/>
        <w:gridCol w:w="166"/>
      </w:tblGrid>
      <w:tr>
        <w:trPr/>
        <w:tc>
          <w:tcPr>
            <w:tcW w:w="169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share and per share amounts)</w:t>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43,665 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(9,703)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basic</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5,699,111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5,605,116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5,693,877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5,600,987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potentially dilutive securities: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82,654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diluted</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5,797,913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5,749,133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common share, basic</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per common share, diluted</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Basic net income (loss) per share of common stock is based on the weighted-average number of shares of common stock outstanding during the period. Pre-funded warrants to purchase 416,673 shares of common stock that were issued in connection with the November 2022 follow-on offering are included in the weighted-average number of common shares outstanding for the three and six months ended June 30, 2026 and 2025. The weighted- average number of common shares outstanding diluted for the three and six months ended June 30, 2026 and 2025 excluded approximately 0.5 million and 0.9 million stock options and nonvested restricted stock awards and units, respectively, which were not 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9. SEGMENTS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defines its segments on the basis of the way in which internally reported financial information is regularly reviewed by the chief operating decision maker ("CODM") to analyze financial performance, make decisions, and allocate resources. The Company’s CODM consists of its Chief Executive Officer and Chief Financial Officer. The Company manages its operations as a single operating and reportable segment and the measure of segment profit or loss is net loss. The CODM uses net loss in the budget and forecasting process and considers budget-to-actual variances on a quarterly basis when making decisions about the allocation of operating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information about reported segment revenues and significant segment expenses presented on the Company's condensed consolidated statements of operations and comprehensive income (loss)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9"/>
        <w:gridCol w:w="1350"/>
        <w:gridCol w:w="1322"/>
        <w:gridCol w:w="228"/>
        <w:gridCol w:w="813"/>
        <w:gridCol w:w="117"/>
        <w:gridCol w:w="117"/>
        <w:gridCol w:w="117"/>
        <w:gridCol w:w="117"/>
        <w:gridCol w:w="228"/>
        <w:gridCol w:w="733"/>
        <w:gridCol w:w="117"/>
        <w:gridCol w:w="109"/>
        <w:gridCol w:w="109"/>
        <w:gridCol w:w="109"/>
        <w:gridCol w:w="212"/>
        <w:gridCol w:w="755"/>
        <w:gridCol w:w="109"/>
        <w:gridCol w:w="109"/>
        <w:gridCol w:w="109"/>
        <w:gridCol w:w="109"/>
        <w:gridCol w:w="212"/>
        <w:gridCol w:w="783"/>
        <w:gridCol w:w="109"/>
        <w:gridCol w:w="109"/>
        <w:gridCol w:w="109"/>
        <w:gridCol w:w="109"/>
        <w:gridCol w:w="166"/>
      </w:tblGrid>
      <w:tr>
        <w:trPr/>
        <w:tc>
          <w:tcPr>
            <w:tcW w:w="161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(in thousands)</w:t>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RLYB212</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RLYB116</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program candidates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expenses (including share-based compensation)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excluding personnel expenses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personnel expenses (including share-based compensation)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segment items*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Segment net income (loss)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43,665 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(9,703)</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segment items include total other income, net, inclusive of the $50 million termination fee related to the Candid Merger Agreement, income tax expense, and loss on investment in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10. RESTRUCTURING AND SEVERANCE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entering into the Candid Merger Agreement in the first quarter of 2026, the Company incurred severance charges of approximately $2.3 million of which $1.6 million was included in research and development expenses and $0.7 million was included in general and administrative expenses, with such amounts reflected in the condensed consolidated statements of operations and comprehensive income (loss). The charges related to the Merger Agreement were cash-based expenditures related primarily to severance and benefit payments. The Company recognized all such charges during the first quarter of 2026, with such amounts reflected in the condensed consolidated statements of operations and comprehensive income (loss). The accrued severance liability is included in accrued expenses in the condensed consolidated balance sheets as of June 30,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May 2, 2025, the Company approved a workforce reduction to focus resources on the Company’s lead program, RLYB116, and its preclinical development programs.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part of this effort, the Company eliminated approximately 40% of its positions. As a result of these actions, the Company incurred charges of approximately $1.7 million of which $1.2 million was included in research and development expenses and $0.5 million was included in general and administrative expenses, with such amounts reflected in the condensed consolidated statements of operations and comprehensive income (loss). The charges related to the workforce reduction were cash-based expenditures related primarily to severance and benefit payments. The Company recognized all such charges during the second quarter of 2025, with such amounts reflected in the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All restructuring and severance payments related to the Candid Merger Agreement are expected to be paid within the next 12 months.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restructuring and severance accrual activity as of June 30, 2026:</w:t>
      </w:r>
    </w:p>
    <w:tbl>
      <w:tblPr>
        <w:tblW w:w="6268" w:type="dxa"/>
        <w:jc w:val="left"/>
        <w:tblInd w:w="0" w:type="dxa"/>
        <w:tblLayout w:type="fixed"/>
        <w:tblCellMar>
          <w:top w:w="28" w:type="dxa"/>
          <w:left w:w="28" w:type="dxa"/>
          <w:bottom w:w="28" w:type="dxa"/>
          <w:right w:w="28" w:type="dxa"/>
        </w:tblCellMar>
      </w:tblPr>
      <w:tblGrid>
        <w:gridCol w:w="1811"/>
        <w:gridCol w:w="1597"/>
        <w:gridCol w:w="1601"/>
        <w:gridCol w:w="314"/>
        <w:gridCol w:w="716"/>
        <w:gridCol w:w="229"/>
      </w:tblGrid>
      <w:tr>
        <w:trPr/>
        <w:tc>
          <w:tcPr>
            <w:tcW w:w="181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accrued severance as of January 1, 2026</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incurred during the period</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paid and adjustments made during the period</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accrued severance as of June 30, 2026</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11. COLLABORATION AND LICENSE AGREEMENTS`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April 2024, the Company entered into a two-year collaboration agreement (the "J&amp;J Collaboration Agreement"), with Johnson &amp; Johnson ("J&amp;J") through its wholly-owned subsidiary, Momenta Pharmaceuticals, Inc. to facilitate the advancement of research into products to address unmet needs relating to FNAIT.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April 2025, the Company announced that RLYB212 Phase 2 PK results did not achieve target concentrations, including the minimum target concentration required for efficacy, and that the Company would discontinue its RLYB212 program for the prevention of FNAIT.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J&amp;J Collaboration Agreement, the Company received an upfront payment of $0.5 million from J&amp;J for the information dissemination and data provision services under the agreement. The J&amp;J Collaboration Agreement provides that the Company is eligible for payments upon the achievement of certain screening-related events, however, the Company has discontinued screening and enrollment in both the FNAIT natural history study and the RLYB212 Phase 2 clinical trial. </w:t>
      </w:r>
    </w:p>
    <w:p>
      <w:pPr>
        <w:pStyle w:val="TextBody"/>
        <w:bidi w:val="0"/>
        <w:spacing w:lineRule="auto" w:line="288" w:before="240" w:after="283"/>
        <w:jc w:val="left"/>
        <w:rPr/>
      </w:pPr>
      <w:r>
        <w:rPr>
          <w:rFonts w:ascii="Arial;sans-serif" w:hAnsi="Arial;sans-serif"/>
          <w:b w:val="false"/>
          <w:color w:val="000000"/>
          <w:sz w:val="20"/>
        </w:rPr>
        <w:t xml:space="preserve">The Company evaluated the agreement and determined it was within the scope of ASC 606,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("ASC 606"). The Company determined there were performance obligations as follows: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Data collection and submission revenue – derived from Rallybio’s ongoing management of the studies including the maintenance of a minimum site footprint, the license to utilize, and timely, semi-annual submission of the anonymized data, in the required formats.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Dissemination of J&amp;J materials &amp; participant revenue – derived from Rallybio’s dissemination of content, information or materials related to the J&amp;J-Sponsored Studies that are developed by J&amp;J and are provided by Rallybio for the purpose of disseminating such content, information, or materials to staff at Rallybio study sites to provide to potential eligible participants regarding J&amp;J’s independent study.</w:t>
      </w:r>
    </w:p>
    <w:p>
      <w:pPr>
        <w:pStyle w:val="TextBody"/>
        <w:bidi w:val="0"/>
        <w:spacing w:lineRule="auto" w:line="288" w:before="240" w:after="283"/>
        <w:jc w:val="left"/>
        <w:rPr/>
      </w:pPr>
      <w:r>
        <w:rPr>
          <w:rFonts w:ascii="Arial;sans-serif" w:hAnsi="Arial;sans-serif"/>
          <w:b w:val="false"/>
          <w:color w:val="000000"/>
          <w:sz w:val="20"/>
        </w:rPr>
        <w:t xml:space="preserve">In April 2024, the Company also entered into a securities purchase agreement ("JJDC Securities Purchase Agreement") with Johnson &amp; Johnson Innovation – JJDC, Inc. (“JJDC”). Under the terms of the JJDC Securities Purchase Agreement, JJDC purchased 454,545 shares of the Company's common stock with a par value of $0.0001 per share for a share purchase price of $14.56 per share which included a 10% premium on the then-current market price, for an aggregate purchase price of $6.6 million. The JJDC Securities Purchase Agreement contains provisions related to the registration of the shares and the restriction on the sale or transfer of the shares for a period of time. The Company determined the J&amp;J Collaboration Agreement and the JJDC Securities Purchase Agreement represented combined agreements. In accordance with ASC 606 and ASC Topic 820,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total consideration of $1.2 million for the shares of common stock from the JJDC Securities Purchase Agreement, which represents the premium of $0.7 million and discount for lack of marketability of $0.5 million, has been allocated to revenue and was recognized over the two-year expected performance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Company valued the common stock issued to JJDC, in connection with the JJDC Securities Purchase Agreement at fair value. The resulting fair value of $5.4 million was determined by applying the discount due to lack of marketability during the registration and lock-up period to the public trading price of the common stock, which is a Level 1 input, on the date of sale. The Company determined the value of the lack of marketability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registration and lock-up period by utilizing put option models, which are considered Level 3 inputs. Such option models included the Company’s historical volatility of 113.2% and the risk-free rate of 5.28% based on U.S. Treasury bond rates, as key inputs.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recognized no revenue during the three months ended June 30, 2026 and recognized revenue of $0.2 million during the six months ended June 30, 2026. During the three and six months ended June 30, 2025 the Company recognized $0.2 million and $0.4 million, respectively, related to data collection and data submission with the identified performance obligations, and the premium and discount allocated to revenue from the sale of the common stock to JJDC. As of June 30, 2026, all revenue was recognized due to the performance obligations being satisfied. On April 9, 2026, the J&amp;J Collaboration Agreement terminated upon completion of the initial term of the agreement.</w:t>
      </w:r>
    </w:p>
    <w:p>
      <w:pPr>
        <w:pStyle w:val="TextBody"/>
        <w:bidi w:val="0"/>
        <w:spacing w:lineRule="auto" w:line="288" w:before="240" w:after="283"/>
        <w:jc w:val="left"/>
        <w:rPr/>
      </w:pPr>
      <w:r>
        <w:rPr>
          <w:rFonts w:ascii="Arial;sans-serif" w:hAnsi="Arial;sans-serif"/>
          <w:b w:val="false"/>
          <w:color w:val="000000"/>
          <w:sz w:val="20"/>
        </w:rPr>
        <w:t xml:space="preserve">The Company determined that the J&amp;J Collaboration Agreement is not in the scope of ASC 808, </w:t>
      </w:r>
      <w:r>
        <w:rPr>
          <w:rFonts w:ascii="Arial;sans-serif" w:hAnsi="Arial;sans-serif"/>
          <w:b w:val="false"/>
          <w:i/>
          <w:color w:val="000000"/>
          <w:sz w:val="20"/>
        </w:rPr>
        <w:t>Collaborative Arrangements</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on Form 10-Q and our audited consolidated financial statements and related notes included in our Annual Report on Form 10-K for the year ended December 31, 2025 (our "Annual Report").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section entitled “Risk Factors" in Part II, Item 1A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 clinical-stage biotechnology company comprised of experienced biopharma industry leaders with extensive research, development, and rare disease expertise with a mission to develop and commercialize life-transforming therapies for patients with severe and rare diseases. Our lead program, RLYB116, is a differentiated complement component 5 ("C5") inhibitor with the potential to treat diseases of complement dysregulation. In addition, RLYB332, a long-acting matriptase-2 ("MTP-2") antibody for the treatment of diseases of iron overload is currently in preclinical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March 1, 2026, Rallybio Corporation and subsidiaries ("Rallybio", the "Company", "we", "our", or "us") entered into an Agreement and Plan of Merger and Reorganization with Candid Therapeutics, Inc ("Candid") (the "Candid Merger Agreement") pursuant to which the parties intended to undertake a business combination (the "Candid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3, 2026, Candid terminated the Candid Merger Agreement concurrently with entering into a Permitted Alternative Agreement (as defined in the Candid Merger Agreement) with UCB S.A. (“UCB”). As a result of the termination of the Candid Merger Agreement, we were paid on May 4, 2026 a $50.0 million Parent Termination Fee (as defined in the Candid Merger Agreement) and were reimbursed $0.4 million for certain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Following termination of the Candid Merger Agreement, Rallybio restarted the evaluation of strategic alternatives. On May 31, 2026, Rallybio entered into an Agreement and Plan of Merger and Reorganization (the “Merger Agreement”) with Avenzo Therapeutics, Inc.(“Avenzo”), a clinical-stage biotechnology company developing next-generation oncology therapies, pursuant to which, among other matters, Farmington Merger Sub, Inc., a Delaware corporation and wholly owned subsidiary of Rallybio (“Merger Sub”), will merge with and into Avenzo with Avenzo surviving as a wholly owned subsidiary of Rallybio (such transaction, the “Merger”). In connection with the Merger, Rallybio will change its name to Avenzo Therapeutics, Inc. (together with its subsidiaries following the Merger, the “combined company”). The Merger is intended to qualify as a tax-free reorganization for U.S. federal income tax purposes. The Merger will become effective at the time the Certificate of Merger has been duly filed with the Secretary of State of the State of Delaware or such other date and time as is agreed upon by Rallybio and Avenzo and specified in the Certificate of Merger in accordance with the General Corporation Law of the State of Delaware (“DGCL”) (such date, the “Closing Date,” and such time, the “Effective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Merger, Avenzo entered into a subscription agreement (the “Subscription Agreement”) with certain investors, pursuant to which Avenzo has agreed to sell, and such investors have agreed to purchase, shares of Avenzo Common Stock for an aggregate purchase price of $215.0 million, immediately prior to the Effective Time (such transaction, the “Concurrent Financing”). The closing of the Concurrent Financing is conditioned upon the satisfaction or waiver of each of the conditions to the closing of the Merger (the “Closing”) as well as certain other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Subject to the terms and conditions of the Merger Agreement, at the Effective Time, (a) each then-outstanding share of common stock or preferred stock of Avenzo (each such share, an “Avenzo Share”) (excluding any share described in clauses (b) or (c) below and Avenzo Shares held by stockholders who have exercised and perfected appraisal rights for such shares) will be converted into the right to receive a number of shares of Rallybio common stock, calculated in accordance with the Exchange Ratio as set forth in the Merger Agreement, (b) each Avenzo Share issued in the Concurrent Financing will be converted into the right to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number of shares of Rallybio common stock calculated in accordance with the Merger Agreement, (c) any Avenzo Shares held as treasury shares or held or owned by Rallybio, Merger Sub or any subsidiary of Rallybio or Avenzo immediately prior to the Effective Time will be canceled and shall cease to exist, and no consideration shall be delivered in exchange therefor. Each then-outstanding option to purchase Avenzo Shares will be converted into an option to purchase Rallybio common stock, subject to adjustment as set forth in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Exchange Ratio formula in the Merger Agreement, upon the Closing, on a pro forma basis and based upon the number of shares of Rallybio common stock expected to be issued in connection with the Merger and the Concurrent Financing, pre-Merger equityholders of Avenzo (other than investors in the Concurrent Financing) are expected to own approximately 56.6% of the combined company, pre-Merger equityholders of Rallybio will own approximately 2.8% of the combined company and the investors in the Concurrent Financing are expected to own approximately 40.6% (assuming gross proceeds from the Concurrent Financing of $215.0 million), in each case, calculated on a fully diluted basis, using the treasury stock method, and subject to certain assumptions, including (i) a valuation for Rallybio of $15.0 million (calculated after giving effect to the expected payment of the distribution of Rallybio's pre Closing cash), (ii) a valuation for Avenzo of $300.0 million, and (iii) the relative capitalization of Rallybio and Avenzo. The percentage of the combined company that each party’s equityholders will own following the Closing is subject to certain adjustments as described in the Merger Agreement, including the amount of the final Rallybio Net Cash (as defined in the Merger Agreement) at Closing. At any time prior to the Closing, Rallybio will declare distributions (each a “Rallybio Distribution”) of Rallybio Net Cash to holders of Rallybio common stock and, if applicable, securities convertible into or exchangeable or exercisable for shares of Rallybio common stock outstanding as of the applicable record date, subject to the terms of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Immediately prior to the Effective Time, Rallybio and a rights agent (the “Rights Agent”) are expected to enter into a Contingent Value Rights Agreement (the “CVR Agreement”), pursuant to which holders of record of certain Rallybio securities as of the close of business on the last business day prior to the Closing Date will receive one contingent value right (each, a “CVR”) for each outstanding share of Rallybio common stock, pre-funded warrant, Rallybio restricted stock unit or In the Money Parent Option (as defined in the Merger Agreement) held as of such date. Pursuant to the CVR Agreement, each CVR holder will be entitled to receive their pro rata share of all of the net proceeds (including cash or the value of stock to the extent listed on a national exchange, at the time of disposition), if any, received by Rallybio as a result of payments (“CVR Payments”) made to Rallybio of (i) any upfront, milestone, royalty and other payments received under any disposition agreement related to Rallybio’s pre-Merger assets (the “Legacy Assets”), and (ii) all of the cash proceeds, if any, received from Recursion Pharmaceuticals, Inc. ("Recursion") under the Membership Interest Purchase Agreement, dated July 8, 2025, by and among Recursion, Exscientia Ventures I, Inc., Rallybio and Rallybio IPB, LLC (the “ENPP1 Purchase Agreement”). For a period of four months after the Closing Date, Rallybio will use commercially reasonable efforts to effect the disposition of the Legacy Assets with respect to a third party that Rallybio had been in discussions with regarding a disposition prior to the Closing Date, subject to certain limitations. Such net proceeds will be subject to certain permitted deductions, including for applicable tax payments, certain expenses incurred or other liabilities borne by Rallybio or its affiliates in respect of the Legacy Assets, and losses incurred by Rallybio or its affiliates due to a third-party proceeding in connection with such disposition.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completed a confirmatory pharmacokinetic ("PK") and pharmacodynamic ("PD") study of RLYB116 in healthy volunteers in 2025 and reported data in the first quarter of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2025, we entered into the ENPP1 Purchase Agreement to sell our interest in REV102, an Ectonucleotide Pyrophosphatase/Phosphodiesterase 1 ("ENPP1") inhibitor in preclinical development for the treatment of patients with hypophosphatasia ("HPP"), to Buyer (a subsidiary of our joint venture partner Recursion) (the "JV Sale"). In connection with the JV Sale, we received a total of $20.0 million in the third quarter of 2025 including $7.5 million from an upfront payment and $12.5 million from a milestone payment related to the initiation of additional preclinical studies. We are eligible to receive a $5.0 million milestone payment in connection with the initiation of dosing in a Phase 1 clinical study, as defined in the ENPP1 Purchase Agreement and low single-digit royalties on all future net sales by Recursion of products comprising or incorporating certain compounds developed by RE Ventures I, LLC, a limited liability company (“REV-I”). We may also be eligible to receive certain payments in the event of Recursion’s sale of the REV102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2025, we announced the discontinuation of our RLYB212 program for the prevention of fetal and neonatal alloimmune thrombocytopenia ("FNAIT") based on PK data from the Phase 2 clinical trial that demonstrated an inability of the RLYB212 dose regimen to achieve predicted target concentrations, as well as the minimum target concentration required for efficacy.</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Complement Dysregulation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RLYB116 is an innovative, once-weekly, small volume, subcutaneously injected inhibitor of C5 in development for the treatment of patients with complement-related diseases. We have completed two Phase 1 clinical trials in healthy participants that included the study of RLYB116 as both a single-ascending dose and a multiple-ascending dose. After the first Phase 1 clinical trial, we completed manufacturing process enhancements that were designed to improve the tolerability of RLYB116. In 2025, we completed the confirmatory Phase 1 clinical trial evaluating the PK/PD properties of RLYB116. The confirmatory trial achieved its two key objectives including: a significant improvement in the tolerability of RLYB116 and demonstration of complete and sustained inhibition of terminal complement. These results, which we reported in the first quarter of 2026, support the study of RLYB116 as a potential best-in-class therapeutic for multiple complement mediated diseases.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Hematological Disorders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2022, we obtained worldwide exclusive rights to RLYB331, a preclinical, monoclonal antibody that is designed to inhibit MTP-2. The inhibition of MTP-2 significantly increases levels of hepcidin, decreases iron load and treats ineffective erythropoiesis. In 2024, we re-engineered RLYB331 to extend its half-life and completed non-clinical studies that demonstrated favorable tolerability, dose-dependent PK, and sustained PD effects with RLYB332, a long-acting version of RLYB331. These findings, which were presented in a poster at the 66th annual meeting of the American Society of Hematology, support the continued development of RLYB332 as a potentially best-in-class therapeutic for treating diseases of iron overload.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Our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inception, we have devoted substantially all of our resources to raising capital, organizing and staffing the Company, business planning, conducting discovery and research activities, acquiring or discovering product candidates, establishing and protecting our intellectual property portfolio, developing and progressing our product candidates, preparing for and conducting clinical trials and establishing arrangements with third parties for the manufacture of our product candidates and component materials, including activities relating to our preclinical development and manufacturing activities for each of our programs. We do not have any product candidates approved for sale and have not generated any revenue from product sales.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our inception, we have funded our operations primarily through equity financings. From our inception and prior to our initial public offering ("IPO"), we received proceeds of approximately $182.5 million from equity financings. In August 2021, we closed our IPO and issued and sold 891,250 shares of common stock, inclusive of 116,250 shares sold pursuant to the full exercise of the underwriters’ option to purchase additional shares, at a public offering price of $104.00 per share. We received net proceeds of approximately $83.0 million, after deducting underwriting discounts and commissions and other offering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2022, we completed a follow-on offering of approximately $54.8 million pursuant to which we issued 725,456 shares of common stock, inclusive of 100,456 shares of common stock sold pursuant to the partial exercise of the underwriters' option to purchase additional shares at a price of $48.00 per share and to certain investors in lieu of common stock, pre-funded warrants to purchase up to an aggregate of 416,673 shares of common stock at a price of $47.9992, which represents the per share public offering price for the shares less the $0.0008 per share exercise price for each pre-funded warrant. The net proceeds from the November 2022 follow-on offering were approximately $50.8 million, after deducting underwriting discounts and commissions and other offering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2024, we entered into a securities purchase agreement (the "JJDC Securities Purchase Agreement") with Johnson &amp; Johnson Innovation – JJDC, Inc. ("JJDC"), pursuant to which we sold to JJDC, in an unregistered offering, 454,545 shares of our common stock at a price of $14.56 per share, which represented a 10% premium on our closing stock price on April 9, 2024, for aggregate gross proceeds of approximately $6.6 million, before deducting offering expenses. We agreed, among other things, to file with the Securities and Exchange Commission (the "SEC") a registration statement covering the resale of the shares, which we filed on May 10,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val="false"/>
          <w:color w:val="000000"/>
          <w:sz w:val="20"/>
        </w:rPr>
        <w:t>In July 2025, we announced that we had entered into the ENPP1 Purchase Agreement to sell our interest in REV102, an ENPP1 inhibitor in preclinical development for the treatment of patients with HPP, to Buyer (a subsidiary of our joint venture partner Recursion). In connection with the JV Sale, we received a total of $20.0 million in the third quarter of 2025 including $7.5 million from an upfront payment and $12.5 million from a milestone payment related to the initiation of additional preclinical studies. We are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REV-I. We may also be eligible to receive certain payments in the event of Recursion’s sale of the REV102 program.</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June 30, 2026, we had cash and cash equivalents of $92.8 million. We believe that our existing cash and cash equivalents will be sufficient to fund our operating expenses and capital expenditure requirements for at least 12 months beyond the filing of this Quarterly Report on Form 10-Q, although we anticipate that the Merger will close prior to the end of 2026. See “—Liquidity and Capital Resources.”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incurred significant operating losses since inception, including operating losses of $5.7 million and $10.1 million for the three months ended June 30, 2026 and 2025, respectively and $14.4 million and $19.7 million for the six months ended June 30, 2026 and 2025, respectively. The increase in total other income of $50.0 million was a result of the termination of the Candid Merger Agreement on May 4, 2026 and payment of the related termination fee. As of June 30, 2026, we had an accumulated deficit of $266.6 million. These losses have resulted primarily from costs incurred in connection with research and development activities and general and administrative costs associated with our operations. We have not commercialized any products and have never generated revenue from the commercialization of any product. There can be no assurances, however, that additional funding will be available on terms acceptable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have any product candidates approved for sale and have not generated any revenue from product sales. In April 2024, we entered into a two-year collaboration agreement (the "J&amp;J Collaboration Agreement") with Johnson &amp; Johnson ("J&amp;J"), through its wholly-owned subsidiary, Momenta Pharmaceuticals, Inc. Our collaboration and license revenue to date is related to data collection and data submission performance obligations pursuant to the two-year J&amp;J Collaboration Agreement to facilitate the advancement of research into products to address unmet needs relating to FNAIT. Pursuant to the J&amp;J Collaboration Agreement, we received an upfront payment of $0.5 million from J&amp;J for the information dissemination and data provision services under the agreement. We were also eligible to receive additional payments upon certain triggers related to the companies' FNAIT studies, however, in connection with our decision in April 2025 to discontinue development of RLYB212, we do not expect payments regarding the achievement of certain enrollment-related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determined there were performance obligations as follows: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Data collection and submission revenue – derived from Rallybio’s ongoing management of the studies including the maintenance of a minimum site footprint, the license to utilize, and timely, semi-annual submission of the anonymized data, in the required formats.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Dissemination of J&amp;J materials &amp; participant revenue – derived from Rallybio’s dissemination of content, information or materials related to the J&amp;J-Sponsored Studies that are developed by J&amp;J and are provided by Rallybio for the purpose of disseminating such content, information, or materials to staff at Rallybio study sites to provide to potential eligible participants regarding J&amp;J’s independent study.</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Arial;sans-serif" w:hAnsi="Arial;sans-serif"/>
          <w:b w:val="false"/>
          <w:color w:val="000000"/>
          <w:sz w:val="20"/>
        </w:rPr>
        <w:t xml:space="preserve">We determined the J&amp;J Collaboration Agreement and JJDC Securities Purchase Agreement represented combined agreements. In accordance with Accounting Standards Codification 606,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and Accounting Standards Codification Topic 820, </w:t>
      </w:r>
      <w:r>
        <w:rPr>
          <w:rFonts w:ascii="Arial;sans-serif" w:hAnsi="Arial;sans-serif"/>
          <w:b w:val="false"/>
          <w:i/>
          <w:color w:val="000000"/>
          <w:sz w:val="20"/>
        </w:rPr>
        <w:t>Fair Value Measurement</w:t>
      </w:r>
      <w:r>
        <w:rPr>
          <w:rFonts w:ascii="Arial;sans-serif" w:hAnsi="Arial;sans-serif"/>
          <w:b w:val="false"/>
          <w:color w:val="000000"/>
          <w:sz w:val="20"/>
        </w:rPr>
        <w:t>, total consideration of $1.2 million for the shares of common stock from the JJDC Securities Purchase Agreement, which represents the premium of $0.7 million and discount for lack of marketability of $0.5 million, has been allocated to revenue and was recognized over the two-year expected performance period. As of June 30, 2026, all revenue was recognized due to the performance obligations being satisfied. On April 9, 2026, the J&amp;J Collaboration Agreement terminated upon completion of the initial term of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expenses consist of costs incurred in connection with our research and development activities, including our drug discovery efforts and the development of our product candidates. We expense research and development costs as incurred, which include: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external research and development expenses incurred under agreements with third parties, such as contract research organizations ("CROs") as well as investigative sites and consultants that conduct our clinical trials and other scientific development services;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related to manufacturing material for our clinical trials, including expenses related to the manufacturing scale-up and fees paid to contract manufacturing organizations ("CMOs");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employee-related expenses, including salaries, bonuses, benefits, share-based compensation and other related costs for those employees involved in research and development efforts;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of outside consultants, including their fees, and related travel expenses;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expenses to acquire technologies, such as intellectual property, to be used in research and development including in-process research and development ("IPR&amp;D") that has no alternative future use at the time of asset acquisitions;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related to compliance with quality and regulatory requirements;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facilities, depreciation and other indirect costs allocated to employees and activities supporting our research and development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Costs for certain activities are recognized based on an evaluation of the progress to completion of each specific contract using information and data provided to us by our vendors and analyzing the progress of our research studies or other services performed. Significant judgments and estimates are made in determining the expenses incurred at the end of any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allocate employee costs, facility costs,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successful development of any product candidate is highly uncertain. If we continue to progress the development of our product candidates, we will need to raise substantial additional capital in the future to fund the future development of these programs. We intend to focus our near term research and development efforts on completing the ongoing activities and preparing our programs for a potential transaction 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salaries, benefits and share-based compensation for our personnel in executive, legal, business development, finance and accounting, and other administrative functions. General and administrative expenses also include legal fees relating to intellectual property and corporate matters, professional fees paid for accounting, auditing, tax and consulting services, insurance costs, travel expenses and direct and allocated facility costs not otherwise included in research and development expenses.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income, net, includes interest income earned on cash, cash equivalents and marketable securities, and income and expense items.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recognize the pro-rata share of losses in the joint venture with Recursion (as successor in interest to Exscientia) on the condensed consolidated statements of operations and comprehensive income (loss) within the loss on investment in joint venture line item, with a corresponding change to the joint venture investment asset on the condensed consolidated balance sheets for equity method investments for which we do not have a controlling interest in. In July 2025, we sold our interest in REV102 to Recursion.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Income Tax Expense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Income tax expense includes current taxes on income recognized from the termination of the Candid Merger Agreement which resulted in a termination fee being recorded during the quarter. We continue to maintain a full valuation allowance against our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Comparison of the Three Months Ended June 30, 2026 and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w:t>
      </w:r>
    </w:p>
    <w:tbl>
      <w:tblPr>
        <w:tblW w:w="8981" w:type="dxa"/>
        <w:jc w:val="left"/>
        <w:tblInd w:w="0" w:type="dxa"/>
        <w:tblLayout w:type="fixed"/>
        <w:tblCellMar>
          <w:top w:w="28" w:type="dxa"/>
          <w:left w:w="28" w:type="dxa"/>
          <w:bottom w:w="28" w:type="dxa"/>
          <w:right w:w="28" w:type="dxa"/>
        </w:tblCellMar>
      </w:tblPr>
      <w:tblGrid>
        <w:gridCol w:w="1692"/>
        <w:gridCol w:w="1492"/>
        <w:gridCol w:w="1495"/>
        <w:gridCol w:w="249"/>
        <w:gridCol w:w="887"/>
        <w:gridCol w:w="128"/>
        <w:gridCol w:w="128"/>
        <w:gridCol w:w="128"/>
        <w:gridCol w:w="128"/>
        <w:gridCol w:w="249"/>
        <w:gridCol w:w="834"/>
        <w:gridCol w:w="128"/>
        <w:gridCol w:w="109"/>
        <w:gridCol w:w="109"/>
        <w:gridCol w:w="109"/>
        <w:gridCol w:w="211"/>
        <w:gridCol w:w="751"/>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Collaboration and license revenue</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(5,653)</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(10,057)</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50,642 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equity in losses of joint venture</w:t>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44,989 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(9,416)</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investment in joint venture</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43,665 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(9,703)</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was no collaboration and license revenue for the three months ended June 30, 2026 due to the expiration of the J&amp;J Collaboration Agreement in April 2026. Collaboration and license revenue was $0.2 million for the three months ended June 30, 2025.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costs for each of the periods presented: </w:t>
      </w:r>
    </w:p>
    <w:tbl>
      <w:tblPr>
        <w:tblW w:w="9495" w:type="dxa"/>
        <w:jc w:val="left"/>
        <w:tblInd w:w="0" w:type="dxa"/>
        <w:tblLayout w:type="fixed"/>
        <w:tblCellMar>
          <w:top w:w="28" w:type="dxa"/>
          <w:left w:w="28" w:type="dxa"/>
          <w:bottom w:w="28" w:type="dxa"/>
          <w:right w:w="28" w:type="dxa"/>
        </w:tblCellMar>
      </w:tblPr>
      <w:tblGrid>
        <w:gridCol w:w="1892"/>
        <w:gridCol w:w="1669"/>
        <w:gridCol w:w="1673"/>
        <w:gridCol w:w="288"/>
        <w:gridCol w:w="658"/>
        <w:gridCol w:w="149"/>
        <w:gridCol w:w="149"/>
        <w:gridCol w:w="149"/>
        <w:gridCol w:w="149"/>
        <w:gridCol w:w="288"/>
        <w:gridCol w:w="884"/>
        <w:gridCol w:w="149"/>
        <w:gridCol w:w="109"/>
        <w:gridCol w:w="109"/>
        <w:gridCol w:w="109"/>
        <w:gridCol w:w="211"/>
        <w:gridCol w:w="70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Direct research and development by program</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RLYB212</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RLYB116</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program candidates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Other unallocated research and development costs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expenses (including share-based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(2,981)</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expenses</w:t>
            </w:r>
          </w:p>
        </w:tc>
        <w:tc>
          <w:tcPr>
            <w:tcW w:w="2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6,074 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(5,316)</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were $0.8 million for the three months ended June 30, 2026, compared to $6.1 million for the three months ended June 30, 2025. The decrease of $5.3 million in 2026 as compared to 2025 was primarily due to:</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$1.4 million decrease in RLYB212 development costs, primarily related to a decrease in clinical costs and other related development costs as a result of our discontinuation of the FNAIT program in April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$0.7 million decrease in RLYB116 development costs, primarily related to a decrease in clinical and manufacturing costs and other related development costs; and</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$3.0 million decrease in personnel expenses, primarily related to lower ongoing headcount during the three months ended June 30, 2026 as compared to the same period in 2025, in addition to a decrease in share-based compensation and no bonus accrual or expected bonus payments for research and development in 2026.</w:t>
      </w:r>
    </w:p>
    <w:p>
      <w:pPr>
        <w:pStyle w:val="TextBody"/>
        <w:bidi w:val="0"/>
        <w:spacing w:before="120" w:after="283"/>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 were $4.9 million for the three months ended June 30, 2026, compared to $4.2 million for the three months ended June 30, 2025. The increase of $0.7 million in 2026 as compared to 2025 was primarily due to:</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a $2.3 million increase primarily related to legal fees, professional fees and other related general and administrative expenses, the vast majority of which were incurred in connection with the Merger.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increase was partially offset by: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$1.6 million decrease in personnel expenses, primarily related to lower ongoing headcount during the three months ended June 30, 2026 as compared to the same period in 2025, in addition to a decrease in share-based compensation and a decrease in the bonus accrual.</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income, net, for the three months ended June 30, 2026 was $50.6 million compared to $0.6 million for the three months ended June 30, 2025. The increase in total other income of $50.0 million was primarily a result of the termination of the Candid Merger Agreement, which resulted in a termination fee of $50.0 million paid to us on May 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Income Tax Expense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Income tax expense for the period was primarily driven by current taxes on income recognized from the termination of the Candid Merger Agreement which resulted in a termination fee being recorded during the quarter. We continue to maintain a full valuation allowance against its deferred tax assets.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on investment in joint venture was $0.3 million for the three months ended June 30, 2025. In July 2025, we sold our interest in REV102 to Recursion which resulted in no loss on investment in joint venture for the three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w:t>
      </w:r>
    </w:p>
    <w:tbl>
      <w:tblPr>
        <w:tblW w:w="8683" w:type="dxa"/>
        <w:jc w:val="left"/>
        <w:tblInd w:w="0" w:type="dxa"/>
        <w:tblLayout w:type="fixed"/>
        <w:tblCellMar>
          <w:top w:w="28" w:type="dxa"/>
          <w:left w:w="28" w:type="dxa"/>
          <w:bottom w:w="28" w:type="dxa"/>
          <w:right w:w="28" w:type="dxa"/>
        </w:tblCellMar>
      </w:tblPr>
      <w:tblGrid>
        <w:gridCol w:w="1692"/>
        <w:gridCol w:w="1492"/>
        <w:gridCol w:w="1495"/>
        <w:gridCol w:w="214"/>
        <w:gridCol w:w="761"/>
        <w:gridCol w:w="110"/>
        <w:gridCol w:w="110"/>
        <w:gridCol w:w="110"/>
        <w:gridCol w:w="110"/>
        <w:gridCol w:w="214"/>
        <w:gridCol w:w="822"/>
        <w:gridCol w:w="110"/>
        <w:gridCol w:w="109"/>
        <w:gridCol w:w="109"/>
        <w:gridCol w:w="109"/>
        <w:gridCol w:w="211"/>
        <w:gridCol w:w="751"/>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Collaboration and license 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20,151 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(14,386)</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(19,727)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51,097 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equity in losses of joint venture</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36,711 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(18,268)</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investment in joint venture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35,387 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(19,142)</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Collaboration and license revenue was $0.2 million and $0.4 million for the six months ended June 30, 2026 and 2025.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costs for each of the periods presented: </w:t>
      </w:r>
    </w:p>
    <w:tbl>
      <w:tblPr>
        <w:tblW w:w="9196" w:type="dxa"/>
        <w:jc w:val="left"/>
        <w:tblInd w:w="0" w:type="dxa"/>
        <w:tblLayout w:type="fixed"/>
        <w:tblCellMar>
          <w:top w:w="28" w:type="dxa"/>
          <w:left w:w="28" w:type="dxa"/>
          <w:bottom w:w="28" w:type="dxa"/>
          <w:right w:w="28" w:type="dxa"/>
        </w:tblCellMar>
      </w:tblPr>
      <w:tblGrid>
        <w:gridCol w:w="1892"/>
        <w:gridCol w:w="1669"/>
        <w:gridCol w:w="1673"/>
        <w:gridCol w:w="229"/>
        <w:gridCol w:w="701"/>
        <w:gridCol w:w="118"/>
        <w:gridCol w:w="118"/>
        <w:gridCol w:w="118"/>
        <w:gridCol w:w="118"/>
        <w:gridCol w:w="229"/>
        <w:gridCol w:w="815"/>
        <w:gridCol w:w="118"/>
        <w:gridCol w:w="109"/>
        <w:gridCol w:w="109"/>
        <w:gridCol w:w="109"/>
        <w:gridCol w:w="211"/>
        <w:gridCol w:w="70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Direct research and development by program</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RLYB212</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RLYB116</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program candidates</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Other unallocated research and development costs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expenses (including share-based compensation)</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(3,290)</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w:t>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expenses</w:t>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11,799 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(8,170)</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were $3.6 million for the six months ended June 30, 2026, compared to $11.8 million for the six months ended June 30, 2025. The decrease of $8.2 million in 2026 as compared to 2025 was primarily due to:</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$3.8 million decrease in RLYB212 development costs, primarily related to a decrease in clinical costs and other related development costs as a result of our discontinuation of the FNAIT program in April 2025;</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$1.0 million decrease in RLYB116 development costs, primarily related to a decrease in clinical and manufacturing costs and other related development costs;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$3.3 million decrease in personnel expenses, primarily related to lower ongoing headcount during the six months ended June 30, 2026 as compared to the same period in 2025, in addition to a decrease in share-based compensation and no bonus accrual or expected bonus payments for research and development in 2026.</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These decreases were partially offset by: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an increase in personnel expenses, primarily related to severance recognized in connection with the Merger.</w:t>
      </w:r>
    </w:p>
    <w:p>
      <w:pPr>
        <w:pStyle w:val="TextBody"/>
        <w:bidi w:val="0"/>
        <w:spacing w:before="120" w:after="283"/>
        <w:ind w:left="0" w:right="0" w:hanging="360"/>
        <w:jc w:val="left"/>
        <w:rPr/>
      </w:pPr>
      <w:r>
        <w:rPr/>
      </w:r>
    </w:p>
    <w:p>
      <w:pPr>
        <w:pStyle w:val="TextBody"/>
        <w:bidi w:val="0"/>
        <w:spacing w:lineRule="auto" w:line="288" w:before="0" w:after="0"/>
        <w:jc w:val="left"/>
        <w:rPr/>
      </w:pPr>
      <w:r>
        <w:rPr>
          <w:rFonts w:ascii="Arial;sans-serif" w:hAnsi="Arial;sans-serif"/>
          <w:b w:val="false"/>
          <w:color w:val="000000"/>
          <w:sz w:val="20"/>
        </w:rPr>
        <w:t>General and administrative expenses were $11.0 million for the six months ended June 30, 2026, compared to $8.4 million for the six months ended June 30, 2025. The increase of $2.6 million in 2026 as compared to 2025 was primarily due to</w:t>
      </w:r>
      <w:r>
        <w:rPr>
          <w:rFonts w:ascii="Arial;sans-serif" w:hAnsi="Arial;sans-serif"/>
          <w:b w:val="false"/>
          <w:color w:val="EE2724"/>
          <w:sz w:val="20"/>
        </w:rPr>
        <w:t>:</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a $4.9 million increase primarily related to legal fees, professional fees and other related general and administrative expenses, the vast majority of which were incurred in connection with the Merger.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increase was partially offset by: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$2.3 million decrease in personnel expenses, primarily related to lower ongoing headcount during the six months ended June 30, 2026 as compared to the same period in 2025. In addition, there was a decrease in share-based compensation and a decrease in the bonus accrual in 2026 that was offset by an increase in severance recognized in connection with the Merger.</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income, net, for the six months ended June 30, 2026 was $51.1 million compared to $1.5 million for the six months ended June 30, 2025. The increase in total other income of $49.6 million was primarily a result of the termination of the Candid Merger Agreement, which resulted in a termination fee of $50.0 million paid to us on May 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Income Tax Expense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Income tax expense for the period was primarily driven by current taxes on income recognized from the termination of the Candid Merger Agreement and the related termination fee which was recorded during the quarter. We continue to maintain a full valuation allowance against our deferred tax assets.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on investment in joint venture was $0.9 million for the six months ended June 30, 2025. In July 2025, we sold our interest in REV102 to Recursion which resulted in no loss on investment in joint venture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Sources of Liquidity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6, 2026, we executed a reverse stock split of our issued and outstanding common stock, par value $0.0001, at a ratio of 1-for-8 with a record date of December 30, 2025 (the “Reverse Stock Split”). All common stock, per share and related information included herein have been adjusted retroactively, where applicable, to reflect the Reverse Stock Split.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our inception, we have funded our operations primarily through equity financings. From our inception and prior to our IPO, we received proceeds of approximately $182.5 million from equity financings. In August 2021, we closed our IPO and issued and sold 891,250 shares of common stock, inclusive of 116,250 shares sold pursuant to the full exercise of the underwriters’ option to purchase additional shares, at a public offering price of $104.00 per share. We received net proceeds of approximately $83.0 million, after deducting underwriting discounts and commissions and other offering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August 2022, we filed a Registration Statement on Form S-3 (the “Shelf”) with the SEC in relation to the registration and potential future issuance of common stock, preferred stock, debt securities, warrants and/or units of any combination thereof in the aggregate amount of up to $300.0 million. The Shelf was declared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effective on August 15, 2022. Pursuant to General Instruction I.B.6 to Form S-3 (“Instruction I.B.6”), a company with a public float of less than $75.0 million measured at certain time periods may not issue securities under Registration Statements on Form S-3 in excess of one-third of its public float in a 12-month period. We are subject to the limitations of Instruction I.B.6, which may limit the amount of funds we can raise using the Shelf or any other Registration Statement on Form S-3. In connection with the Shelf, we also simultaneously entered into a Sales Agreement with TD Securities (USA) LLC (f/k/a Cowen and Company, LLC) ("TD Cowen"), which was amended on March 13, 2025 (as amended, the "Sales Agreement"). In accordance with the terms of the Sales Agreement, we may offer and sell shares of our common stock having an aggregate offering price of up to $9.55 million from time to time at prices through TD Cowen acting as our agent. Pursuant to the Sales Agreement, sales of our common stock, if any, will be made in sales deemed to be “at the market offerings” as defined in Rule 415(a)(4) promulgated under the Securities Act of 1933, as amended (the "Securities Act"). Under the Sales Agreement, TD Cowen will be entitled to compensation equal to 3.0% of the gross proceeds of any shares of common stock sold under the Sales Agreement. As of June 30, 2026, we had not sold any shares of common stock pursuant to the Sales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November 2022, we completed a follow-on offering of approximately $54.8 million consisting of 725,456 shares of common stock, inclusive of 100,456 shares of common stock sold pursuant to the partial exercise of the underwriters' option to purchase additional shares at the price of $48.00 per share, and to certain investors in lieu of common stock, pre-funded warrants to purchase up to an aggregate of 416,673 shares of common stock at a price of $47.9992, which represents the per share public offering price for the shares less the $0.0008 per share exercise price for each pre-funded warrant. The net proceeds from the November 2022 follow-on offering were approximately $50.8 million, after deducting underwriting discounts and commissions and other offering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2024, we entered into the JJDC Securities Purchase Agreement, pursuant to which we sold to JJDC in an unregistered offering, 454,545 shares of our common stock at a price of $14.56 per share, which represented a 10% premium on our closing stock price on April 9, 2024, for aggregate gross proceeds of approximately $6.6 million, before deducting offering expenses. We agreed, among other things, to file with the SEC a registration statement covering the resale of the shares within 120 days following the closing of the offering. We filed this registration statement on May 10,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2025, we announced that we had entered into the ENPP1 Purchase Agreement to sell our interest in REV102, an ENPP1 inhibitor in preclinical development for the treatment of patients with HPP, to Buyer (a subsidiary of our joint venture partner, Recursion). In the third quarter of 2025, we received a total of $20.0 million in connection with the JV Sale, including $7.5 million from an upfront payment and $12.5 million from a milestone payment related to the initiation of additional preclinical studies. We are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REV-I. We may also be eligible to receive certain payments in the event of Recursion’s sale of the REV102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2026, we received $50.0 million in connection with the termination of the Candid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June 30, 2026, we had $92.8 million of cash and cash equivalents.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Uses of Liquidity </w:t>
      </w:r>
    </w:p>
    <w:p>
      <w:pPr>
        <w:pStyle w:val="TextBody"/>
        <w:bidi w:val="0"/>
        <w:spacing w:lineRule="auto" w:line="288" w:before="0" w:after="0"/>
        <w:jc w:val="left"/>
        <w:rPr/>
      </w:pPr>
      <w:r>
        <w:rPr>
          <w:rFonts w:ascii="Arial;sans-serif" w:hAnsi="Arial;sans-serif"/>
          <w:b w:val="false"/>
          <w:color w:val="000000"/>
          <w:sz w:val="20"/>
        </w:rPr>
        <w:t>We currently have no ongoing material financing commitments, such as lines of credit or guarantees, that are expected to affect our liquidity over the next five years. See "Contractual Obligations"</w:t>
      </w:r>
      <w:r>
        <w:rPr>
          <w:color w:val="000000"/>
        </w:rPr>
        <w:t xml:space="preserve"> </w:t>
      </w:r>
      <w:r>
        <w:rPr>
          <w:rFonts w:ascii="Arial;sans-serif" w:hAnsi="Arial;sans-serif"/>
          <w:b w:val="false"/>
          <w:color w:val="000000"/>
          <w:sz w:val="20"/>
        </w:rPr>
        <w:t>below.</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Funding Requirements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our existing cash and cash equivalents will be sufficient to fund our operating expenses and capital expenditure requirements for at least 12 months beyond the filing of this Quarterly Report on Form 10-Q, although we anticipate that the Merger will close prior to the end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of the numerous risks and uncertainties, length of time and scope of activities associated with research, development and commercialization of pharmaceutical product candidates, we are unable to estimate the actual amount of funds we will require for development, approval and any approved marketing and commercialization activities.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Until such time, if ever, as we generate significant revenue from product sales, we expect to finance our operations through the sale of equity, debt financings, marketing and distribution arrangements and collaborations, strategic alliances and licensing arrangements or other sources. We currently have no credit facility or committed sources of capital. Any future sales of equity will result in dilution to our existing stockholders.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If we raise additional funds through collaborations, strategic alliances or marketing, distribution or licensing arrangements with third parties, we may be required to relinquish valuable rights to our technologies, intellectual property, future revenue streams or product candidates or grant licenses on terms that may not be favorable to us. If we are unable to raise additional funds when needed, we may be required to delay, limit, reduce or terminate product candidate development or future commercialization efforts.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Cash Flows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each of the periods presented: </w:t>
      </w:r>
    </w:p>
    <w:tbl>
      <w:tblPr>
        <w:tblW w:w="7451" w:type="dxa"/>
        <w:jc w:val="left"/>
        <w:tblInd w:w="0" w:type="dxa"/>
        <w:tblLayout w:type="fixed"/>
        <w:tblCellMar>
          <w:top w:w="28" w:type="dxa"/>
          <w:left w:w="28" w:type="dxa"/>
          <w:bottom w:w="28" w:type="dxa"/>
          <w:right w:w="28" w:type="dxa"/>
        </w:tblCellMar>
      </w:tblPr>
      <w:tblGrid>
        <w:gridCol w:w="1751"/>
        <w:gridCol w:w="1544"/>
        <w:gridCol w:w="1549"/>
        <w:gridCol w:w="214"/>
        <w:gridCol w:w="761"/>
        <w:gridCol w:w="110"/>
        <w:gridCol w:w="110"/>
        <w:gridCol w:w="110"/>
        <w:gridCol w:w="110"/>
        <w:gridCol w:w="214"/>
        <w:gridCol w:w="822"/>
        <w:gridCol w:w="156"/>
      </w:tblGrid>
      <w:tr>
        <w:trPr/>
        <w:tc>
          <w:tcPr>
            <w:tcW w:w="175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SIX MONTHS ENDED </w:t>
              <w:br/>
              <w:t>JUNE 30,</w:t>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(18,584)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Net increase (decrease) in cash and cash equivalents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(4,458)</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net cash provided by operating activities was $37.9 million as compared to $18.6 million net cash used during the six months ended June 30, 2025. The increase in net cash provided by operating activities during the six months ended June 30, 2026 as compared to net cash used during the six months ended June 30, 2025 was primarily a result from the termination of the Candid Merger Agreement, in addition to a decrease in research and development activities; offset by an increase in general and administration activities.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investing activities was $23.4 million during the six months ended June 30, 2026 as compared to $14.1 million of net cash provided by investing activities during the six months ended June 30, 2025. The increase of $9.3 million in net cash provided by investing activities was primarily related to proceeds of $23.4 million from maturities of highly-rated debt securities during the six months ended June 30, 2026, as compared to proceeds from maturities of highly-rated debt securities of $25.5 million, partially offset by purchases of highly-rated debt securities of $9.9 million during the six months ended June 30, 2025.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Financing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 during the six months ended June 30, 2026 was $134 thousand primarily representing proceeds from the issuance of common stock from the exercise of stock options and under the stock purchase plan. Net cash provided by financing activities during the six months ended June 30, 2025 was $10 thousand primarily representing the issuance of common stock under the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have been no other material changes in our contractual obligations and commitments during the six months ended June 30, 2026 from those described under the heading “Management’s Discussion and Analysis of Financial Condition and Results of Operations—Contractual Obligations”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unaudited condensed consolidated financial statements are prepared in accordance with accounting principles generally accepted in the United States of America. The preparation of our unaudited condensed consolidated financial statements and related disclosures requires us to make estimates and judgments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complete discussion of our significant accounting policies and recent accounting pronouncements, see Note 2 to the unaudited condensed consolidated financial statements appearing elsewhere in this Quarterly Report on Form 10-Q and Note 2 to the consolidated financial statements in our Annual Report. We believe that the following accounting policy is the most critical to the judgments and estimates used in the preparation of our condensed consolidated financial statements.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Research and Development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part of the process of preparing our condensed consolidated financial statements, we are required to estimate our research and development expenses that are incurred as of each reporting period.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Emerging Growth Company and Smaller Reporting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an emerging growth company (an “EGC”) under the Jumpstart Our Business Startups Act of 2012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We may choose to early adopt any new or revised accounting standards whenever such early adoption is permitted for private companies. Therefore,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reported results of operations contained in our condensed consolidated financial statements may not be directly comparable to those of other public companies.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are also a “smaller reporting company” meaning that the market value of our stock held by non-affiliates is less than $700.0 million and our annual revenue was less than $100.0 million during the most recently completed fiscal year.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an EGC,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Off-Balance Sheet Arrangements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June 30, 2026 and December 31, 2025, we did not have any off-balance sheet arrangements, as defined in Item 303(a)(4)(ii)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a smaller reporting company as defined by Rule 12b-2 of the Securities Exchange Act of 1934, as amended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(our principal executive officer and principal financial and accounting officer, respectively),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You should carefully consider the risks and uncertainties described below together with all of the other information contained in this Quarterly Report on Form 10-Q, including our unaudited condensed consolidated financial statements and related notes appearing in this Quarterly Report on Form 10-Q and our audited consolidated financial statements and related notes included in our Annual Report, and the section of this Quarterly Report on Form 10-Q titled “Management’s Discussion and Analysis of Financial Condition and Results of Operations.” Negative consequences from these risks could harm our business, prospects, operating results and financial condition or cause the trading price of our common stock to decline. The risks and uncertainties described below are not the only ones we face. Additional risks and uncertainties not presently known to us or that we currently believe to be immaterial may also adversely affect our business. See “Cautionary Note Regarding Forward-Looking Statements.” </w:t>
      </w: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Risks Related to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Failure to complete, or delays in completing, the proposed Merger with Avenzo could materially and adversely affect our results of operations, business, financial results and/or stock price.</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Any failure to satisfy a required condition to closing may prevent, delay or otherwise materially and adversely affect the completion of the Merger, which could materially and adversely affect our results of operations, business, financial results and/or stock price. We cannot predict with certainty whether or when any of the required closing conditions will be satisfied or if another uncertainty may arise and cannot assure you that the proposed Merger will be successfully consummated or that we will be able to successfully consummate the proposed Merger as currently contemplated under the Merger Agreement or at 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 if certain of the proposals in the Merger Agreement are approved by our stockholders, specified conditions must be satisfied or, to the extent permitted by applicable law, waived to complete the Merger. We cannot assure you that all of the conditions will be satisfied or waived.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Risks related to the failure to consummate, or delay in consummating, the proposed Merger with Avenzo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would not realize any or all of the potential benefits of the Merger, which could have a negative effect on our results of operations, business or stock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under some circumstances, we may be required to pay a termination fee to Avenzo, with expense reimbursement credited against the payment of any such termination fee;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would remain liable for significant transaction costs, including legal, accounting, financial advisory and other costs relating to the Merger regardless of whether the Merger is consummated;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trading price of our common stock may decline to the extent that the current market price for our common stock reflects a market assumption that the Merger will be completed;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attention of our management and employees may have been diverted to the Merger rather than to our historical operations and the pursuit of other opportunities that could have been beneficial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could be subject to litigation related to any failure to complete the Merger;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could potentially lose key personnel during the pendency of the Merger;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under the Merger Agreement, we are subject to certain customary restrictions on the conduct of our business prior to completing the Merger, which restrictions could adversely affect our ability to conduct our business as we otherwise would have done if we were not subject to these restrictions.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occurrence of any of these events individually or in combination could materially and adversely affect our results of operations, business, and our common stock price, and we may lose some or all the intended benefits of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We are substantially dependent on our remaining employees to facilitate the consummation of the Merger.</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consummate a strategic transaction depends upon our ability to retain our remaining employees required to consummate such a transaction, the loss of whose services may adversely impact the ability to consummate such transaction. As of June 30, 2026, we had only 7 full-time employees. Our ability to successfully complete the Merger depends in large part on our ability to retain key personnel that are necessary to maintain our operations between now and the Effective Time. Despite our efforts to retain these employees, one or more may terminate their employment with us on short notice. Our cash conservation activities may yield other unintended consequences, such as reduced employee morale, which may cause remaining employees to seek alternative employment. The loss of the services of certain employees could potentially harm our ability to consummate the Merger, to run our day-to-day business operations, as well as to fulfill our reporting obligations as a public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The Exchange Ratio will not be adjusted based on the market price of our common stock, so the consideration at the closing of the Merger may have a greater or lesser value than at the time the Merger Agreement was signed.</w:t>
      </w:r>
    </w:p>
    <w:p>
      <w:pPr>
        <w:pStyle w:val="TextBody"/>
        <w:bidi w:val="0"/>
        <w:spacing w:lineRule="auto" w:line="288" w:before="0" w:after="0"/>
        <w:jc w:val="left"/>
        <w:rPr/>
      </w:pPr>
      <w:r>
        <w:rPr>
          <w:rFonts w:ascii="Arial;sans-serif" w:hAnsi="Arial;sans-serif"/>
          <w:b w:val="false"/>
          <w:color w:val="000000"/>
          <w:sz w:val="20"/>
          <w:shd w:fill="FFFFFF" w:val="clear"/>
        </w:rPr>
        <w:t xml:space="preserve">The Exchange Ratio will not change based on changes in the trading price of our common stock. Therefore, if before the completion of the Merger, the market price of our common stock increases from the market price on the date of the Merger Agreement, Avenzo stockholders could then receive merger consideration with substantially higher value for their shares of Avenzo common stock than the parties had negotiated when they established the Exchange Ratio. The Merger Agreement does not include a price-based termination right. Immediately after the Merger, our securityholders as of immediately prior to the Merger are expected to own approximately 2.8% of the outstanding shares of the combined company and former Avenzo securityholders, including purchasers in the Concurrent Financing, are expected to own approximately 97.2% of the outstanding shares of the combined company, subject to certain assumptions, including, but not limited to, </w:t>
      </w:r>
      <w:r>
        <w:rPr>
          <w:rFonts w:ascii="Arial;sans-serif" w:hAnsi="Arial;sans-serif"/>
          <w:b w:val="false"/>
          <w:color w:val="000000"/>
          <w:sz w:val="20"/>
        </w:rPr>
        <w:t>in each case, calculated on a fully diluted basis, using the treasury stock method, and subject to certain assumptions, including (i) a valuation for Rallybio of $15.0 million (calculated after giving effect to the expected payment of the distribution of Rallybio's pre Closing cash), (ii) a valuation for Avenzo of $300.0 million, and (iii) the relative capitalization of Rallybio and Avenzo.</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The Merger may be completed even though a material adverse effect may result from the announcement of the Merger, industry-wide changes and/or other causes.</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general, either we or Avenzo can refuse to complete the Merger if there is a Rallybio Material Adverse Effect (as defined in the Merger Agreement) or a Company Material Adverse Effect (as defined in the Merger Agreement), as applicable, prior to the Closing. However, certain types of changes do not permit either party to refuse to complete the Merger, even if such change could be said to have a material adverse effect on us or Avenzo,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business, political or economic conditions generally affecting the industry in which Rallybio or Avenzo operate, including with respect to the imposition of, or adjustments to, tariffs or other trade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acts of war, the outbreak or escalation of armed hostilities, acts of terrorism, earthquakes, wildfires, hurricanes or other natural disasters, health emergencies, including pandemics and related or associated epidemics, disease outbreaks or quarantine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financial, banking or securities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change in the stock price or trading volume of Rallybio Common Stock (it being understood, however, that any effect causing or contributing to any change in stock price or trading volume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Rallybio Common Stock may be taken into account in determining whether a material adverse effect with respect to Rallybio has occurred, unless such effects are otherwise excepted from the definition of Rallybio Material Adverse Effect);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failure by Rallybio to meet internal or analysts’ expectations or projections or the results of operations of Rallybio (it being understood, however, that any effect causing or contributing to the failure of Rallybio to meet internal or analysts’ expectations or projections or the results of operations of Rallybio may be taken into account in determining whether a material adverse effect with respect to Rallybio has occurred, unless such effects are otherwise excepted from the definition of Rallybio Material Adverse Effect);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change in, or any compliance with or action taken for the purpose of complying with, any applicable law or GAAP (or interpretations of any applicable law or GAAP);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announcement of the Merger Agreement or the pendency of the Contemplated Transactions;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taking of any action required to be taken by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 material adverse change occurs with respect to either party or both parties and we and Avenzo still complete the Merger, the stock price of the combined company following the Closing may suffer and may reduce the value of the Merger to the stockholders of Rallybio, Avenzo or both.</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Some of our executive officers and directors have interests in the Merger that are different from our stockholders and that may influence them to support or approve the Merger without regard to the interests of our stockholders.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Certain of our executive officers and directors of Rallybio are parties to arrangements that provide them with interests in the Merger that are different from our stockholders, including severance benefits, the acceleration of equity award vesting and continued indemnification. The Board was aware of and considered these interests, among other matters, in reaching its determination (i) that the terms of the Merger Agreement and the Merger and the other Contemplated Transactions are fair to, advisable and in the best interest of Rallybio and its stockholders; and (ii) to approve and declare advisable the Merger Agreement and the Contemplated Transactions, including the Merger and the issuance of shares of Rallybio common stock to the stockholders of Avenzo pursuant to the Merger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Our stockholders may not realize a benefit from the Merger commensurate with the ownership dilution they will experience in connection with the Merger.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the combined company is unable to realize the full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Our equityholders will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After the completion of the Merger, our current stockholders will own a smaller percentage of the combined company than their ownership of Rallybio prior to the Merger. Immediately after the Closing, on a pro forma basis and based upon the number of shares of Rallybio Common Stock expected to be issued in connection with the Merger, pre-Merger equityholders of Avenzo (other than investors in the Concurrent Financing) are expected to own approximately 56.6% of the combined company, pre-Merger equityholders of Rallybio are expected to own approximately 2.8% of the combined company and the investors in the Concurrent Financing are expected to own approximately 40.6% (assuming proceeds from the Concurrent Financing of $215.0 million), in each case, calculated on a fully diluted basis, using the treasury stock method, and subject to certain assumptions, including (i) a valuation for Rallybio of $15.0 million (calculated after giving effect to expected payment of Parent Distributions), (ii) a fixed valuation for Avenzo of $300.0 million, and (iii) the relative capitalization of Rallybio and Avenzo.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The amount of the Rallybio Distributions is uncertain and may be less than currently anticipated, or the Rallybio Distributions may not be made at all.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Merger, the Board will declare one or more Rallybio Distributions payable to holders of Rallybio common stock and, if applicable, securities convertible into or exchangeable or exercisable for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of Rallybio common stock, in an aggregate amount not to exceed the amount by which Rallybio Net Cash equals or exceeds $0. The amount of Rallybio Net Cash available for the Rallybio Distributions is subject to numerous factors, many of which are outside of our control, including the amount of our transaction expenses, the costs of any tail policy associated with our directors’ and officers’ insurance, lease termination costs, payments required to terminate existing agreements, expenses associated with the wind-down of our prior research and development activities, payroll taxes associated with the Rallybio Distributions, severance or change-in-control payments, and other accrued or contingent liabilities. We expect to continue to incur losses in future periods primarily related to the proposed Merger and, as a result, available cash and cash equivalents will continue to decrease prior to the Closing. If these expenses and liabilities are greater than currently estimated, or if unforeseen liabilities arise, the amount available for the Rallybio Distributions will be reduced accordingly. There can be no assurance that the aggregate amount of the Rallybio Distributions will equal the amount that our stockholders currently expect to receive, or that any Rallybio Distribution will be made at all.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Lawsuits may be filed against us and the members of our Board arising out of the proposed Merger, which may delay or prevent the proposed Merger.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Putative stockholder complaints, including stockholder class action complaints, and other complaints may be filed against us, our Board and others in connection with the transactions contemplated by the Merger Agreement. The outcome of litigation is uncertain, and we may not be successful in defending against any such future claims. Lawsuits that may be filed against us, our board, Avenzo, or the Avenzo board could delay or prevent the Merger, divert the attention of our management and employees from our day-to-day business and otherwise adversely affect our financial condition.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During the pendency of the Merger Agreement, we may not be able to enter into a business combination with another party at a favorable price because of restrictions in the Merger Agreement, which could adversely affect our business.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Covenants in the Merger Agreement impede our ability to make acquisitions, subject to specified exceptions relating to fiduciary duties, or complete other mergers, sales of assets or other business combinations pending completion of the Merger. As a result, if the Merger is not completed, we may be at a disadvantage to our competitors during that period. In addition, while the Merger Agreement is in effect, we are generally prohibited from soliciting, initiating, knowingly encouraging or entering into specified extraordinary transactions, such as a merger, sale of assets or other business combination, with any third party, subject to specified exceptions, even if any such transaction could be favorable to our stockholders.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Certain provisions of the Merger Agreement may discourage third parties from submitting competing proposals, including proposals that may be superior to the arrangements contemplated by the Merger Agreement.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terms of the Merger Agreement prohibit us from soliciting competing proposals or cooperating with persons making unsolicited takeover proposals, except in certain limited circumstances. Our Board may respond to an unsolicited competing proposal if it determines in good faith, after consultation with its outside financial advisor and outside legal counsel, that the unsolicited competing proposal constitutes, or is reasonably likely to result in, a superior competing proposal and, after consultation with its outside legal counsel, that failure to take such action would be inconsistent with the fiduciary duties of the Board. In certain circumstances, and subject to compliance with the Merger Agreement, our Board may change its recommendation to our stockholders if it determines such recommendation change is required to avoid a breach of its fiduciary duties.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Upon termination of the Merger Agreement in certain circumstances, a termination fee of $600,000 may be payable by us to Avenzo if (i)(a) the Merger Agreement is terminated because the Merger has not been consummated by the End Date (as defined in the Merger Agreement) or we (1) fail to obtain the requisite stockholder approval or (2) breach the Merger Agreement, (b) an alternative acquisition proposal was announced or disclosed prior to such termination, and (c) within 12 months of the termination of the Merger Agreement, we enter into a definitive agreement with respect to an alternative transaction or (ii) the Board of changes or withdraws its recommendation in favor of the Merger or approves an alternative transaction, or willfully and intentionally breaches its non-solicitation or certain other obligations under the Merger Agreement.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have also agreed to reimburse Avenzo for up to $750,000 for third-party expenses, as applicable, if the Merger Agreement is terminated in certain circumstances.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These termination fees and expense reimbursement provisions may discourage third parties from submitting competing proposals to us or our stockholders and may cause our Board to be less inclined to recommend a competing proposal.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We or Avenzo may waive one or more of the conditions to the Merger without recirculation of the related proxy statement/prospectus or resoliciting stockholder approval.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Conditions to our or Avenzo’s obligations to complete the Merger may be waived, in whole or in part, to the extent permitted by law, in certain circumstances unilaterally or by agreement of us and Avenzo. In the event of a waiver of a condition, our Board will evaluate the materiality of any such waiver to determine whether amendment of the related proxy statement/prospectus and re-solicitation of stockholder approval is necessary.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the event that our Board, in its own reasonable discretion, determines any such waiver is not significant enough to require recirculation of the related proxy statement/prospectus and re-solicitation of our stockholders, it will have the discretion to complete the Merger without seeking further stockholder approval, which decision may have a material adverse effect on our stockholders. For example, if we and Avenzo agree to waive the requirement that the shares of Rallybio common stock to be issued in the Merger have been approved for listing (subject to official notice of issuance) on Nasdaq as of the Closing, and our respective boards of directors elect to proceed with the Closing, Nasdaq may notify the combined company of its determination to delist the combined company’s securities based upon the failure to satisfy the initial inclusion criteria in the Nasdaq application. The combined company may appeal the determination to a hearings panel but such appeal will not stay the suspension and delisting action and Nasdaq may notify the combined company that its common stock will be immediately suspended from trading and delisted.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Our winddown of our historical operations, the sale of assets, the suspension of development activities and the proposed Merger, resulting in the conversion of Avenzo into a public company, will make us subject to the SEC requirements applicable to reporting shell company business combinations. As a result, the combined company will be subject to more stringent reporting requirements, offering limitations and resale restrictions.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We have taken steps to winddown our general and administrative operations that will not be needed after Closing and expect to issue the CVRs in connection with the Closing and, as such, our plan to merge with Avenzo, resulting in the conversion of Avenzo into a public company, will be subject to the SEC requirements applicable to reporting shell company business combinations, which are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combined company will need to file a Current Report on Form 8-K to report the Form 10 type information (“Super 8-K”) after the Closing reflecting its status as an entity that is not a shell company;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combined company will not be eligible to use a Form S-3 until 12 full calendar months after the Closing;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combined company will need to wait at least 60 calendar days after the filing of the Super 8-K to file a Form S-8 for any equity plans or awards, such as the 2026 Plan and the 2026 ESPP;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the well-known seasoned issuer (“WKSI”) status, even if otherwise eligible based on its public float;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investors who (i) were affiliates of Avenzo at the time the Merger was submitted for the vote or consent of Avenzo’s stockholders, (ii) receive securities of the combined company in the Merger and (iii) publicly offer or sell such securities will be deemed to be engaged in a distribution of such securities, and therefore would be underwriters with respect to resales of those securities;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Rule 144(i)(2) will limit the ability of holders of restricted securities, and any affiliates of the public company to publicly resell Rule 145(c) securities per Rule 145(d), as well as any other “restricted” or “control” securities of the combined company per Rule 144, until one year after the Form 10 information is filed with the SEC. Non-affiliate Rallybio stockholders prior to the Merger will not be subject to such restrictions on public resales of their shares. </w:t>
      </w:r>
    </w:p>
    <w:p>
      <w:pPr>
        <w:pStyle w:val="TextBody"/>
        <w:bidi w:val="0"/>
        <w:spacing w:before="0" w:after="0"/>
        <w:ind w:left="0" w:right="0" w:firstLine="612"/>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foregoing SEC requirements will increase the combined company’s time and cost of raising capital, offering stock under equity plans, and complying with securities laws. Furthermore, such requirements will add burdensome restrictions on the resale of the combined company common stock by affiliates of Avenzo and any holders of “restricted” or “control” securities of the combined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Our equityholders may not receive any payment on the CVRs and the CVRs may otherwise expire valueless.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right of our equityholders to receive any future payment for or derive any value from the CVRs will be contingent solely upon (i) our and Avenzo’s (or the combined company’s) ability to monetize all or any part of the Legacy Assets pursuant to one or more disposition agreements entered into within the time period specified in the CVR Agreement, and the timing and amount of the consideration received thereunder and (ii) the receipt of cash proceeds from Recursion under the ENPP1 Purchase Agreement. If we and/or Avenzo or the combined company (x) are not successful in entering into disposition agreements related to the Legacy Assets or receiving payments thereunder, or if such payments are not sufficient to result in the payment of any CVR Payments as a result of permitted deductions thereto and (y) do not receive cash proceeds from Recursion pursuant to the ENPP1 Purchase Agreement, in each case within the time period specified in the CVR Agreement, no payments will be made in respect of the CVRs, and the CVRs will expire valueless.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Following the effective time, the combined company will have sole authority over whether and how to monetize the Legacy Assets (if at all), and the combined company’s only obligations will be to carry out the obligations set forth in the CVR Agreement.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Furthermore, the CVRs will be unsecured obligations of the combined company and all payments under the CVRs and all other obligations under the CVR Agreement and the CVRs and any rights or claims relating thereto will be subordinated in right of payment to the prior payment in full of all current or future senior obligations of the combined company.</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color w:val="000000"/>
          <w:sz w:val="20"/>
          <w:shd w:fill="FFFFFF" w:val="clear"/>
        </w:rPr>
        <w:t>Risks Related to Our Financial Position and Need for Additional Ca</w:t>
      </w:r>
      <w:r>
        <w:rPr>
          <w:rFonts w:ascii="Arial;sans-serif" w:hAnsi="Arial;sans-serif"/>
          <w:b/>
          <w:color w:val="000000"/>
          <w:sz w:val="20"/>
        </w:rPr>
        <w:t xml:space="preserve">pital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incurred significant losses since our inception and anticipate that, if we continue to progress the development of our product candidates, we will continue to incur losses in the foreseeable future. We have not commercialized any products and have never generated revenue from the commercialization of any product. We are not currently profitable, and we may never achieve or sustain profitability.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incurred significant operating losses since inception, including operating losses of $5.7 million and $10.1 million for the three months ended June 30, 2026 and 2025, respectively and $14.4 million and $19.7 million for the six months ended June 30, 2026 and 2025, respectively. The increase in total other income of $50.0 million was a result of the termination of the Candid Merger Agreement on May 4, 2026. As of June 30, 2026, we had an accumulated deficit of $266.6 million. Investment in biopharmaceutical product development is highly speculative because it entails substantial upfront capital expenditures and significant risk that any potential product candidate will fail to gain regulatory approval and become commercially viable. Since inception, we have devoted substantially all of our resources to raising capital, conducting discovery and research activities, acquiring product candidates, establishing and protecting our intellectual property, preparing for and conducting clinical trials, and establishing arrangements with third parties for the manufacture of our product candidates. We do not have any product candidates approved for sale and have not generated any revenue from product sales.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we expect to incur significant additional operating losses in the foreseeable future as we advance our programs and operate our business. The costs of advancing product candidates through each clinical phase tend to increase substantially over the duration of the clinical development process. The total costs to advance a single product candidate to marketing approval in even a single jurisdiction are substantial. Because of the numerous risks and uncertainties associated with pharmaceutical product development, we are unable to accurately predict the timing or amount of increased expenses or when, or if, we will be able to generate revenue from the commercialization of any product candidates or achieve or maintain profitability. Our expenses will increase substantially if and as we: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plan for and conduct any future clinical trials for any of our product candidates, including the ongoing RLYB116 confirmatory clinical PK/PD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seek regulatory approvals for RLYB116 and any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advance our discovery and preclinical development activities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discover and develop additional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hire additional clinical, scientific, and commercial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acquire or in-license other product candidates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maintain, expand, and protect our intellectual property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secure manufacturing sources and supply chain capacity sufficient to produce adequate clinical and commercial quantities of our product candidates;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 sales, marketing, and distribution infrastructure to commercialize our products, if approved.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know when or whether we will become profitable. Our ability to generate revenue and become profitable depends upon our ability to successfully complete the development of our product candidates and to obtain the necessary regulatory approvals for their commercialization, which is subject to substantial additional risks and uncertainties, as described under “— Risks Related to Discovery, Development, Clinical Testing, Manufacturing, and Regulatory Approval.”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Each of our product candidates will require additional preclinical and/or clinical development, regulatory approval in multiple jurisdictions, the securing of clinical and commercial manufacturing supply, the building of a commercial organization, and substantial investment before we generate any revenue from product sales. As a result, if we continue to progress the development of our product candidates, we expect to continue to incur net losses and negative cash flows in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If we are unable to develop and commercialize one or more product candidates, either alone or through current or future collaborations, or if revenues from any product that receives marketing approval are insufficient, we will not achieve profitability. Even if we successfully commercialize RLYB116 or any of our other product candidates, we may continue to incur substantial research and development and other expenses to develop other current or future product candidates. Even if we do achieve profitability, we may not be able to sustain or increase profitability on a quarterly or annual basis or meet outside expectations for our profitability. Our failure to become and remain profitable would decrease the value of the Company and could impair our ability to raise capital, maintain our research and development efforts, expand our business, execute our business plan or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will require significant additional capital to fund our operations. If we continue to progress the development of our product candidates and fail to obtain necessary financing, we may not be able to complete the development or commercialization of RLYB116 or any other product candidate. Given our limited resources and access to capital, we may decide to prioritize development of certain product candidates, the choice of which may prove to be wrong and adversely affect our business.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we expect to spend significant amounts of capital to complete the development of, and if approved, commercialize, one or more product candidates, including RLYB116. We are obligated to make certain payments under our agreements with Affibody AB ("Affibody"), Swedish Orphan Biovitrum AB (Publ) ("Sobi"), and Kymab Limited ("Sanofi"), including milestone and royalty payments in connection with achievement of certain development and commercial milestones as well as the sale of resulting products under such agreements. We may also spend significant capital to develop laboratory tests to identify patients for inclusion in our clinical trials or who are likely to respond to our product candidates.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we believe that our existing cash and cash equivalents as of June 30, 2026, will be sufficient to fund our operating expenses and capital expenditure requirements for at least 12 months beyond the date of the filing of this Quarterly Report on Form 10-Q. This estimate and our expectation to advance the preclinical and clinical development of RLYB116 and any other product candidates are based on assumptions that may prove to be wrong, or we may be subject to changing circumstances. We could exhaust our available capital resources sooner than we expect. Our business is subject to numerous risks and uncertainties, and we may be unable to accurately estimate the actual amount of funds we will require for development and commercialization of our product candidates. Our future capital requirements, both near and long-term, will depend on many factors, including, but not limited 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initiation, progress, timing, costs and results of our clinical trials through all phases of development;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timing and cost of meeting regulatory requirements established by the FDA, EMA, and other comparable foreign regulatory authorities, including any regulatory designations allowing for priority review and any additional clinical trials required by the FDA, EMA or other comparable foreign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the FDA, EMA and other comparable foreign regulatory authorities to accept our clinical trial designs, as well as data from our completed and planned preclinical studies and clinical trials, as the basis for review and approval of RLYB116 and any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and timing of the manufacture and supply of non-clinical, clinical and commercial quantities of RLYB116 and our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identification, assessment, acquisition and/or development of additional research programs and additional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filing, prosecuting, and enforcing our patent claims and other intellectual property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defending potential intellectual property disputes, including patent infringement actions brought by third parties against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associated with potential clinical trial liability or product liability claims, including the costs associated with obtaining insurance against such claims and with defending against such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making royalty, milestone or other payments under our current or any future in-license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establish new collaborations;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extent to which we in-license or acquire additional product candidates or technologies;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of operating as a public company.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we will require significant additional capital, which we may raise through equity offerings, debt financings, marketing and distribution arrangements, strategic alliances and licensing arrangements or other sources. Depending on our business performance, the economic climate and market conditions, we may be unable to raise additional funds when needed on favorable terms, or at all. Furthermore, pursuant to Instruction I.B.6, a company with a public float of less than $75 million measured at certain time periods may not issue securities under Registration Statements on Form S-3 in excess of one-third of its public float in a 12-month period. For purposes of the prior sentence, “public float” means the aggregate market value of a company’s shares held by non-affiliates. We are subject to the limitations of Instruction I.B.6 which may limit the amount of funds we can raise using Registration Statements on Form S-3. Moreover, uncertain geopolitical events, such as the war in Ukraine and conflict in Israel, and uncertain global economic conditions, including as a result of changes in tariffs and other trade restrictions, have impacted the global economy, and a severe or prolonged economic downturn could result in a variety of challenges for our business, including disruptions in the financial markets, which could adversely impact our ability to raise additional capital when needed or on favorable terms, if at all. If we do not succeed in raising additional funds on acceptable terms, we may need to significantly delay, scale back or discontinue the development of one or more of our product candidates or the commercialization of any product that may be approved for marketing, or we could be forced to discontinue operations. In addition, attempting to secure additional financing may divert the time and attention of our management from day-to-day activities and harm our product candidate development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we have limited financial resources, we have focused and may continue to focus on a limited set of research programs and product candidates and for a limited set of indications. We may forego or delay pursuit of opportunities with certain other product candidates or for other indications that could have greater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potential or a greater likelihood of success. Our capital allocation decisions may cause us to fail to realize value from, or advance, viable commercial products or profitable market opportunities.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Raising additional capital may cause dilution to our stockholders, restrict our operations or require us to relinquish rights to our intellectual property or product candidates.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until such time, if ever, as we generate significant revenue from product sales, we expect to finance our operations through the sale of equity, debt financings, collaborations, strategic alliances and licensing arrangements or other sources. We do not currently have any committed external source of funds. In addition, we may seek additional capital due to favorable market conditions or strategic considerations, even if we believe that we have sufficient funds for our current or future operating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future sale of equity or convertible debt securities, including sales of our common stock pursuant to the Sales Agreement with TD Cowen, each shareholder's ownership interest will be diluted, and the terms of these securities may include liquidation or other preferences that adversely affect their rights as a common stockholder. In addition,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If we raise additional funds through collaborations, strategic alliances or licensing arrangements with third parties, we may be required to relinquish valuable rights to our intellectual property, future revenue streams or product candidates or grant licenses on terms that may not be favorable to us. If we are unable to raise additional funds when needed, we may be required to delay, limit, reduce or terminate development or future commercialization efforts for one or more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a limited operating history and no history of commercializing pharmaceutical products, which may make it difficult to evaluate the prospects for our future viability.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Rallybio was founded in January 2018 and our operations to date have been limited primarily to research and development activities, and raising capital. We have not yet demonstrated the ability to successfully complete a large-scale, pivotal clinical trial, obtain marketing approval, manufacture a commercial-scale product, or arrange for a third-party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pharmaceutical products.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a business with a limited operating history, we may encounter unforeseen expenses, difficulties, complications, delays and other known and unknown challenges. If we continue to progress the development of our product candidates, we will eventually need to transition from a company with a research and development focus to a company capable of supporting commercial activities. We may not be successful in such a transition and, as a result,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quarterly and annual financial results may fluctuate, which makes our results difficult to predict and may cause our results to fall short of expectations.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 on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the level of expense related to any ongoing development of our product candidates or research pipeline;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or failures in advancement of any existing or future product candidates into the clinic or in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feasibility of developing, manufacturing and commercializing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relationships, and any associated exclusivity terms, with strategic collaborators;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operation in a net loss position in the foreseeable future;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if we continue to progress the development of our product candidates, our ability to consistently manufacture our product candidates, including in sufficient quantities for clinical or commercial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dependence on, and the need to attract and retain, key management and other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strategic decisions by us or our competitors, such as acquisitions, divestitures, spin-offs, joint ventures, strategic investments or changes in business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advantages that our competitors and potential competitors may have in developing and commercializing competing products, securing funding for or obtaining the rights to critical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developments affecting our product candidates or those of our competitors;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any of our product candidates receives regulatory approval, the terms of such approval and market acceptance and demand for such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patents or other proprietary rights, litigation matters and our ability to obtain and maintain patent protection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business interruptions such as power outages, strikes, civil unrest, wars, acts of terrorism or natural disasters;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use our net operating loss ("NOL") and income tax credit carryforwards to offset income tax.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Due to these and other factors, the results of any of our prior quarterly or annual periods should not be relied upon as indications of our future operating performance, and a period-to-period comparison of our results of operations may not be a meaningful indication of our future performance. In any particular quarter or quarters, our operating results could be below the expectations of securities analysts or investors, which could cause our stock price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ability to use our NOL and income tax credit carryforwards to offset future income tax liabilities may be subject to certain limitations.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incurred substantial NOLs during our history. To the extent that we continue to generate taxable losses, unused losses will carry forward and can be used to offset future taxable income, if any, until such unused losses expire. NOLs generated in taxable years beginning after December 31, 2017 are not subject to expiration. Federal NOLs generated in taxable years beginning after December 31, 2017 generally may not be carried back to prior taxable years. The deduction for NOLs arising in taxable years beginning after December 31, 2017 is generally limited to 80% of current year taxable income. We also have substantial federal and state research and development and other tax credit carryforwards. These tax credit carryforwards could expire unused and be unavailable to offset future income tax liabilities. 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Some of our historical NOLs may be subject to annual limitations on our ability to use them due to prior ownership changes. Additionally, we may experience such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the future as a result of future transactions in our stock, some of which may be outside our control. If we undergo an ownership change, our ability to use our NOLs and income tax credit carryforwards could be further limited. For these reasons, we may not be able to use a material portion of our NOLs or tax credit carryforwards, even if we attain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Discovery, Development, Clinical Testing, Manufacturing, Marketing Approval and Commercialization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heavily dependent on the success of RLYB116, which is in early-stage clinical development. If we continue to progress the development of our product candidates, and we are not able to develop, obtain marketing approval for, or successfully commercialize our product candidates, or if we experience significant delays in doing so, our business will be materially harmed.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lead program, RLYB116, is in early-stage clinical development and we do not currently have any products that generate revenues or any other sources of revenue. To date, we have invested a significant portion of our efforts and financial resources in the development of RLYB212 and RLYB116. If we continue to progress the development of our product candidates, our future success is substantially dependent on our ability to successfully complete preclinical and clinical development for, obtain marketing approval for, and successfully commercialize, RLYB116 and our other product candidates, which may never occur. None of our product candidates are approved for commercial sale and we may never be able to develop a marketable product.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approvals for the commercial sale of our product candidates, we must demonstrate the safety and efficacy of our product candidates for use in each target indication through lengthy, complex and expensive preclinical studies and clinical trials. Failure can occur at any time during the preclinical study and clinical trial processes. Because our product candidates are in an early stage of development, there is a high risk of failure, and we may never succeed in developing marketable products. If we continue to progress the development of our product candidates, our ability to generate product revenue will depend heavily on the successful development and eventual commercialization of our product candidates, which may never occur. Ongoing and future preclinical studies and clinical trials of our product candidates may not show sufficient safety or efficacy or be of sufficient quality to obtain or maintain marketing approvals. For example, PK data from the Phase 2 clinical trial for RLYB212 demonstrated an inability of the RLYB212 dose regimen to achieve predicted target concentrations, as well as the minimum target concentration required for efficacy. There can be no assurance that any of our product candidates, even if approved, will prove to be commercially viable therapeutics.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RLYB116 is designed for subcutaneous ("SC") self-administration. The formulation or physical properties of RLYB116 may ultimately be determined to be inadequate to support this route of administration. If SC administration is not feasible, then we may need to identify additional formulations or routes of administration, which could delay initiation of our future clinical trials or commercialization and result in significant additional costs. Further, alternative formulations and routes of administration may be required to differentiate our product candidates from competitors and/or secure access to support successful commercialization.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the success of our product candidates will depend on several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successful and timely initiation of preclinical studies, and successful and timely initiation of, enrollment in, and completion of our clinical trials with results that support a finding of safety and effectiveness and an acceptable risk-benefit profile of our product candidates in the intended populations within the timeframes we have projected;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grants of authorization to proceed under investigational new drug applications or clinical trial authorization (“CTAs”) such that we can commence planned or future clinical trials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sufficiency of our financial and other resources to complete the necessary preclinical studies and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utilize certain delivery systems, such as pre-filled syringes ("PFSs"), pen-injectors and/or autoinjectors, for certain of our product candidates and to obtain marketing approval of any such drug/device combination product;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timing, and cost of meeting regulatory requirements, including any post-marketing commitments, established by the FDA, EMA and other comparable foreign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establishing commercially viable arrangements with third-party manufacturers for clinical and commercial supply;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patent and trade secret protection and regulatory exclusivity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establishing sales, marketing and distribution capabilities, whether alone or through a collaboration, to support commercialization of our product candidates, if and when approved;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acceptance of the product candidates, if and when approved, by patients, the medical community and third-party payors;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effectively differentiating and competing with other therapies approved and/or used for the same indications as our product candidates, particularly RLYB116;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third-party coverage and reimbursement;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enforcing and defending intellectual property rights and claims;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an acceptable safety profile of the product candidates following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do not successfully address one or more of these factors in a timely manner or at all, we could experience significant delays or an inability to commercialize our product candidates, which would materially harm our business. Due to the uncertain and time-consuming clinical development and marketing approval process, we may not successfully develop any of our product candidates and may choose to discontinue the development of any of our product candidates prior to receiving marketing approval. If we discontinue development of a product candidate, we will not receive anticipated revenues from that product candidate and we may not receive any return on our investment in that product candidate. We may discontinue a product candidate for clinical reasons if it does not prove to be safe and effective for its targeted indications, or if such product candidates do not achieve the necessary efficacy at tolerated doses required for patient benefit. For example, we discontinued RLYB212 development based on PK data from the Phase 2 clinical trial that demonstrated an inability of the RLYB212 dose regimen to achieve predicted target concentrations, as well as the minimum target concentration required for efficacy.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U.S. Supreme Court’s June 2024 decision in</w:t>
      </w:r>
      <w:r>
        <w:rPr>
          <w:color w:val="000000"/>
        </w:rPr>
        <w:t xml:space="preserve"> </w:t>
      </w:r>
      <w:r>
        <w:rPr>
          <w:rFonts w:ascii="Arial;sans-serif" w:hAnsi="Arial;sans-serif"/>
          <w:b w:val="false"/>
          <w:i/>
          <w:color w:val="000000"/>
          <w:sz w:val="20"/>
        </w:rPr>
        <w:t>Loper Bright Enterprises v. Raimondo</w:t>
      </w:r>
      <w:r>
        <w:rPr>
          <w:color w:val="000000"/>
        </w:rPr>
        <w:t xml:space="preserve"> </w:t>
      </w:r>
      <w:r>
        <w:rPr>
          <w:rFonts w:ascii="Arial;sans-serif" w:hAnsi="Arial;sans-serif"/>
          <w:b w:val="false"/>
          <w:color w:val="000000"/>
          <w:sz w:val="20"/>
        </w:rPr>
        <w:t xml:space="preserve">overturned the longstanding </w:t>
      </w:r>
      <w:r>
        <w:rPr>
          <w:rFonts w:ascii="Arial;sans-serif" w:hAnsi="Arial;sans-serif"/>
          <w:b w:val="false"/>
          <w:i/>
          <w:color w:val="000000"/>
          <w:sz w:val="20"/>
        </w:rPr>
        <w:t>Chevron</w:t>
      </w:r>
      <w:r>
        <w:rPr>
          <w:color w:val="000000"/>
        </w:rPr>
        <w:t xml:space="preserve"> </w:t>
      </w:r>
      <w:r>
        <w:rPr>
          <w:rFonts w:ascii="Arial;sans-serif" w:hAnsi="Arial;sans-serif"/>
          <w:b w:val="false"/>
          <w:color w:val="000000"/>
          <w:sz w:val="20"/>
        </w:rPr>
        <w:t xml:space="preserve">doctrine, under which courts were required to give deference to regulatory agencies’ reasonable interpretations of ambiguous federal statutes.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Preclinical studies and clinical trials are expensive, time consuming and difficult to design and implement, and involve uncertain outcomes. If we continue to progress the development of our product candidates, we may incur additional costs or experience delays in completing, or ultimately be unable to complete, the development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 from the FDA, EMA or other comparable regulatory authorities for the sale of our product candidates, we must complete preclinical studies and extensive clinical trials to demonstrate the safety and efficacy of our product candidates. To initiate clinical trials for any future product candidates, we must submit the results of preclinical studies to the FDA, EMA or other comparable foreign regulatory authorities, along with other information, including information about chemistry, manufacturing, controls ("CMC") and our proposed clinical trial protocol, as part of an investigational new drug application or similar regulatory filing that must be accepted by the FDA, EMA or other applicable regulatory authorities before we may proceed with clinical development. In the event that regulators require us to complete additional preclinical studies or we are required to satisfy other regulator requests, such as obtaining alignment on the device regulatory pathway for our FNAIT prevention program, the start of our clinical trials may be delayed or prevented. Even after we receive and incorporate guidance from these regulatory authorities, the FDA, EMA or other regulatory authorities could (i) disagree that we have satisfied their requirements to commence our clinical trial, (ii) change their position on the acceptability of our data, trial design or the clinical endpoints selected, which may require us to complete additional preclinical studies or clinical trials or (iii) impose stricter requirements for approval than we currently expect.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we may experience events that could delay or prevent our ability to complete current clinical trials or initiate and complete new trials, any of which may impact our product development timelines, result in increased costs, affect our ability to obtain marketing approval according to our plans, and delay commercialization of our product candidates. These events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requiring us to submit additional data or imposing other requirements before permitting us to commence a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receiving or denial by regulatory agencies of permission to proceed with our planned clinical trials or any other clinical trials we may initiate, or placement of a clinical trial on hold;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results from our non-clinical trials or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challenges, delays and cost involved in identifying, recruiting and retaining suitable participants and clinical trial sites in sufficient numbers to participate in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reaching an agreement on acceptable terms with prospective CROs and clinical trial sites, the terms of which can be subject to extensive negotiation and may vary significantly among different CROs and trial sites;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obtaining an independent institutional review board ("IRB") approval at each site within the United States, or Independent Ethics Committee ("IEC") approval at sites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or problems in analyzing data, or the need for additional analysis or data or the need to enroll additional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us, our CROs, trial sites or investigators to adhere to clinical trial, regulatory, legal or contractual requirements and perform trials in accordance with the FDA’s good clinical practices ("GCP") requirements and trial protocol;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inadequate quantity or quality of product candidate or other materials necessary to conduct clinical trials, for example as a result of delays in defining and implementing the manufacturing process for materials used in clinical trials or for the manufacture of larger quantities or other delays or issues arising in the manufacturing of sufficient supply of finished drug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lack of adequate funding to continue a clinical trial, including as a result of unanticipated costs or increases in costs of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occurrence of serious adverse events including unexpected serious adverse events, associated with the product candidate or reports from non-clinical or clinical testing of our own or competing therapies that raise safety or efficacy concerns, or delays or failures in addressing patient safety concerns that arise during the course of a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regulatory requirements and guidance that require changes to planned or ongoing preclinical and clinical studies, or the conduct of additional studies;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difficulties recruiting and retaining employees, consultants or contractors with the required level of expertise.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we could encounter delays if a clinical trial is suspended or terminated by us, the IRBs or IECs of the institutions in which such trials are being conducted, the FDA, EMA or other regulatory authorities, or recommended for termination by a Data and Safety Monitoring Board ("DSMB") for such trial. Such authorities may impose a suspension or termination or recommend an alteration to clinical trials due to several factors, including failure to conduct the clinical trial in accordance with regulatory requirements or our clinical protocols, the identification of safety issues or adverse side effects, failure to demonstrate a benefit from using a drug, changes in governmental regulations or administrative actions.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we rely and will rely on CROs and clinical trial sites to ensure the proper and timely conduct of our clinical trials and, while we have agreements governing their committed activities, we have limited influence over their actual performance, as described in the section titled “— Risks Related to Our Dependence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Principal investigators for our clinical trials could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a clinical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delays in completing our clinical trials will increase our costs, slow down our product candidate development and approval process and jeopardize our ability to commence product sales and generate revenues. In addition, many of the factors that cause, or lead to, termination or suspension of, or a delay in the commencement or completion of, clinical trials may also ultimately lead to the denial of regulatory approval of our product candidates. Any delays to our clinical trials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results of preclinical studies, clinical trials or analyses that we may announce or publish from time to time, may not be indicative of results obtained in later trials, and any interim results we may publish could be different than final results.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preclinical studies, clinical trials or analyses of the results from such trials, may not be predictive of the results of later clinical trials. Product candidates in later clinical trials may fail to show the desired safety and efficacy traits despite having progressed through preclinical studies and prior clinical trials or having shown promising results based on analyses of data from earlier trials. Late-stage clinical trials may include a larger number of patients and could differ in other significant ways from early-stage clinical trials, including changes to inclusion and exclusion criteria, patient population, efficacy endpoints, dosing regimen and statistical design. A number of companies in the biopharmaceutical industry have suffered significant setbacks in later-stage clinical trials due to lack of efficacy or adverse safety profiles, notwithstanding earlier promising results. In addition, conclusions based on promising data from analyses of clinical results, such as the prospective and post hoc analysis of results may be shown to be incorrect in subsequent clinical trials that have pre-specified end points or may not be considered adequate by regulatory authorities. We have completed Phase 1 clinical studies for RLYB116, however, even if we complete later clinical trials as planned, we cannot be certain that their results will support the safety and efficacy requirements sufficient to obtain regulatory approval, and, as a result, our clinical development plans may be materially harmed.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Similarly, interim, “top-line” and preliminary data from our clinical trials that we announce or publish may change as more patient data become available or as additional analyses are conducted. The data obtained in such clinical trials are subject to additional audit and verification procedures and following such procedures, such interim data could be materially different from the final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Enrollment and retention of patients in rare disease clinical trials is an expensive and time-consuming process and could be made more difficult or rendered impossible by multiple factors outside our control.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identifying and qualifying patients to participate in clinical trials of our product candidates is critical to our success. We currently are conducting clinical trials with our product candidates in rare disease indications, which can make completion of such trial more difficult. The timely completion of clinical trials in accordance with their protocols depends, among other things, on the speed at which we can recruit eligible patients to participate in testing our product candidates and our ability to enroll a sufficient number of patients who remain in the study until its conclusion. Clinical trial recruitment delays often result in increased costs, delays in advancing product development, delays in testing the effectiveness of technologies, delays in obtaining marketing approval or termination of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Patient enrollment and retention in clinical trials depends on many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design of the clinical trial, including the patient eligibility criteria defined in the protocol;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size and nature of the patient population required for analysis of the trial’s primary endpoints;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existing body of safety and efficacy data with respect to the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proximity of patients to clinical sites;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recruit clinical trial investigators with the appropriate competencies and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clinicians’ and patients’ perceptions as to the potential advantages of the product candidate being studied in relation to other available therapies, including any new drugs or medical devices that may be approved for the indications we are investigating;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competing clinical trials being conducted by other companies or institutions, particularly for RLYB116;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patient consents;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that patients enrolled in clinical trials will drop out of the trials before completion;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we may not be able to control that may limit patients, principal investigators or staff, or clinical site availability.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we may have difficulty identifying and enrolling patients for any planned clinical trials because the conditions for which we plan to evaluate our current product candidates are rare diseases and we anticipate that there will be limited patient pools from which to draw for clinical trials. Further, because screening for many of these diseases is not widely adopted, and because it can be difficult to diagnose these diseases in the absence of screening, we may have difficulty finding patients who are eligible to participate in our studies or trials. Our clinical trials for RLYB116 may compete with other clinical trials for product candidates that are being tested for the same indications. This competition will reduce the number and types of patients available to us because some patients who might have opted to enroll in our trials may instead opt to enroll in a trial being conducted by one of our competitors. Furthermore, any negative results we may report in clinical trials of any of our product candidates may make it difficult or impossible to recruit and retain patients in other clinical trials of that same or a similar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Outside of the United States, our ability to initiate, enroll and complete a clinical trial successfully is subject to numerous additional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difficulty in establishing or managing relationships with CROs and physicians;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different standards for the conduct of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inability to locate qualified local consultants, physicians and partners;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burden of complying with a variety of foreign laws, medical standards and regulatory requirements, including the regulation of pharmaceutical and biotechnology products and treatment.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not be able to initiate or continue clinical trials required by the FDA, EMA or other regulatory authorities if we cannot enroll a sufficient number of eligible patients to participate in the clinical trials. If we have difficulty enrolling a sufficient number of patients to conduct our clinical trials as planned, we may need to delay, limit or terminate ongoing or planned clinical trials. Delays or failures in planned patient enrollment or retention may result in increased costs or program delays, which could have a harmful effect on our ability to develop our product candidates or could render further development impossible.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Adverse events or undesirable side effects caused by any product candidates we develop could cause us or regulatory authorities or IRBs, IECs or DSMBs, where applicable, to interrupt, delay, or halt clinical trials and, if we seek approval of any such product candidate, could result in a more restrictive label, imposition of a Risk Evaluation and Mitigation Strategy ("REMS") program by the FDA or the delay or denial of regulatory approval by the FDA, EMA or other comparable foreign regulatory authorities. Additionally, the administration process or related procedures associated with our product candidates also may cause adverse side effects. Even if we determine that serious adverse events are unrelated to study treatment, such occurrences could affect patient recruitment or the ability of enrolled patients to complete the trial. Results of any clinical trial we conduct could reveal a high and unacceptable severity and prevalence of side effects. For example, complement inhibitors have, by design, immunosuppressive effects and, in some cases, may be administered to patients with significantly compromised health. As a result, administration of RLYB116 could make patients more susceptible to infection. The chronic dosing of patients with RLYB116 could lead to an immune response that causes adverse reactions or impairs the activity and/or efficacy of RLYB116. Patients may develop an allergic reaction to the drug and/or develop antibodies directed at RLYB116, or may require immunization with a meningococcal vaccine and prophylactic antibiotics. An immune response that causes adverse reactions or impairs the activity of RLYB116 could cause a delay in or termination of our development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Some potential therapeutics that initially showed therapeutic promise in early-stage trials have later been found to cause side effects that prevented their further development. In addition, side effects could affect patient recruitment or the ability of enrolled patients to complete a trial or result in potential clinical trial or product liability claims. Inadequate training or failures by clinical trial personnel in recognizing or managing the potential side effects of our product candidates could result in patient injury or death. Furthermore, clinical trials by their nature utilize a sample of the potential patient population. With a limited number of subjects and limited duration of exposure, rare and severe side effects of our product candidates or those of our competitors may only be uncovered when a significantly larger number of patients have been exposed to the drug.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or others later identify undesirable side effects caused by any product candidate that we develop after the product is approved, several negative consequences could result, which could materially harm our business,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suspend or withdraw approvals of such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require additional warnings on the label, limit the approved use of such product candidate, or otherwise restrict distribution or marketing such as through requiring adoption of a REMS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required to conduct additional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could be sued and held liable for harm caused to patients;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reputation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predict whether our product candidates will cause toxicities in humans that would preclude or lead to the revocation of marketing approval based on preclinical studies or early-stage clinical trials. Even if the side effects do not preclude the drug from obtaining or maintaining marketing approval, undesirable side effects may inhibit market acceptance of the approved product due to its tolerability versus other therapies. Any of these events could prevent us from achieving or maintaining market acceptance of a product candidate, if approved, and could significantly harm our business,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The marketing approval processes of the FDA, EMA and comparable foreign regulatory authorities, including the MHRA, are lengthy, time- consuming and inherently unpredictable, and if we continue to progress the development of our product candidates, and are ultimately unable to obtain marketing approval for RLYB116 or any of our other product candidates, our business will be substantially harmed.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we are not permitted to market a product candidate until we receive approval of a Biologics License Application ("BLA") or a New Drug Application ("NDA") from the FDA. The process of obtaining BLA and NDA approval is expensive, often takes many years and can vary substantially based upon the type, complexity and novelty of the products involved. Approval policies or regulations may change, and the FDA and other regulatory authorities have substantial discretion in the approval process, including the ability to delay, limit or deny approval of a product candidate for many reasons. In addition, the FDA may require post-approval clinical trials or studies as a condition of approval, which also may be costly. The FDA approval for a limited indication or approval with required warning language, such as a boxed warning, could significantly impact our ability to successfully market our product candidates. The FDA also may require adoption of a REMS requiring prescriber training, post-market registries, or otherwise restricting the marketing and dissemination of these products. Certain of our product candidates will rely on delivery systems, such as PFSs, pen-injectors and/or autoinjectors, and may ultimately be regulated as a drug/device combination product. Although the FDA and similar foreign regulatory agencies have systems in place for the review and approval of combination products, we may experience delays in the development and commercialization of our product candidates due to regulatory timing constraints and uncertainties in the product development and approval process. Despite the time and expense invested in the clinical development of product candidates, regulatory approval is never guaranteed for our product candidates. Assuming successful clinical development, we intend to seek product approvals in countries outside the United States, including in Europe. As a result, we would be subject to regulation by the EMA, as well as the other regulatory agencies in these countries.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Of the large number of drugs in development, only a small percentage successfully complete the marketing approval processes and are commercialized. This lengthy approval process, as well as the unpredictability of future clinical trial results, may result in our failing to obtain marketing approval to market our product candidates and we may be forced to abandon our development efforts for our product candidate, which would significantly harm our business,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time required to obtain approval by the FDA, EMA and other comparable foreign regulatory authorities is unpredictable but typically takes many years following the commencement of clinical trials and depends upon numerous factors. In addition, approval policies, regulations, or the type and amount of clinical data necessary to gain approval may change during a product candidate’s clinical development and may vary among jurisdictions. We have not obtained marketing approval for any product candidate and it is possible that we will never obtain marketing approval for any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obtaining approval to commercialize a product candidate in the United States or abroad, we must demonstrate to the satisfaction of the FDA, EMA or other comparable foreign regulatory authority, that such product candidates are safe and effective for their intended uses. Data obtained from preclinical studies and clinical trials are susceptible to varying interpretations, and regulatory authorities may not interpret our data as favorably as we do, which may further delay, limit, or prevent development efforts, clinical trials, or marketing approval. Even if we believe the preclinical or clinical data for our product candidates are sufficient to support approval, such data may not be considered sufficient to support approval by the FDA, EMA and other comparable regulatory authorities.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the FDA, EMA or other comparable foreign regulatory authority can delay, limit, or deny approval of RLYB116 or any of our other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that we develop or require us to conduct additional preclinical or clinical testing or abandon a program for many reasons,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disagree with the design or implementation of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to the satisfaction of the FDA, EMA or other comparable foreign regulatory authorities that our product candidate is safe and effective for its proposed indication;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serious and unexpected drug-related side effects experienced by participants in our clinical trials or by individuals using drugs similar to our product candidates, or other products containing an active ingredient in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or ambiguous results from our clinical trials or results that may not meet the level of statistical significance required by the FDA, EMA or other comparable foreign regulatory authorities for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population studied in the clinical trial may not be sufficiently broad or representative to assure safety and efficacy in the full population for which we seek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not accept clinical data from trials which are conducted at clinical facilities or in countries where the standard of care is potentially different from that of the United States or the applicable foreign jurisdiction;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that our product candidate’s clinical and other benefits outweigh its safety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disagree with our interpretation of data from preclinical studies or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data collected from clinical trials of our product candidates may not be acceptable or sufficient to support the submission of a BLA or NDA or to obtain regulatory approval in the United States or elsewhere, and we may be required to conduct additional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FDA’s or the applicable foreign regulatory authority’s disagreement regarding the formulation, the labeling, and/or the specifications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time may be required to obtain regulatory approval for our product candidates because they are combination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fail to approve or find deficiencies with the manufacturing processes or facilities of third-party manufacturers with which we contract for clinical and commercial supplies;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policies, regulations, and guidelines of the FDA, EMA or other comparable foreign regulatory authorities regarding the development, approval, and marketing of drugs and biologics may significantly change, including but not limited to, in the U.S., as a result of the 2025 change in presidential administration, which may render our clinical data insufficient for approval or restrict us from marketing our product candidates in the manner in which we anticipate.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never obtained marketing approval for a product candidate. If we continue to progress the development of our product candidates, any delay in obtaining, or an inability to obtain, marketing approvals would prevent us from commercializing our product candidates, generating revenues, and achieving and sustaining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product candidates target rare diseases and conditions, and if we continue to progress the development of our product candidates, the market opportunities for RLYB116 or any of our other product candidates, if approved, may be smaller than we anticipate. We must be able to successfully identify patients and capture a significant market share to achieve profitability and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candidates target rare diseases and conditions. With respect to RLYB116, we estimate that there are approximately 8,000 patients with immune PTR and up to 10,000 patients with refractory APS in the United States. Our projections of the number of eligible patients are based on our beliefs and estimates. These estimates have been derived from a variety of sources, including scientific literature, population statistics and market research, and may prove to be incorrect. Further, new sources may reveal a change in the estimated number of eligible patients, and the number of patients may turn out to be lower than expected. Additionally, the potentially addressable patient population for our current programs or future product candidates may be limited or may not be amenable to treatment with our product candidates, and new patients may become increasingly difficult to identify or gain access to. For example, even if we obtain FDA approval for RLYB116, the drug may be approved for a target population that is more limited than what we currently anticipate. Furthermore, even if we obtain significant market share for any product candidate, if approved, the potential target populations for our product candidates are for rare diseases, and we may never achieve profitability.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in many cases there are either limited screening or diagnostic tests for the indications our product candidates are being developed to potentially treat. The lack of screening and diagnostic tests, coupled with the fact that there is frequently limited awareness among certain health care providers concerning the rare diseases we may seek to treat, often means that a proper diagnosis can, and frequently does, take years to identify (or an appropriate diagnosis may never be made for certain patients). As a result, even if one of our product candidates is approved for commercial sale, we may not be able to grow our revenues due to difficulty in identifying eligible patients. There can be no guarantee that any of our programs will be effective at identifying patients that will benefit from our product candidates, and even if we can identify patients that our product candidates can help, the number of patients that our product candidates may ultimately treat may turn out to be lower than we expect, they may not be otherwise amenable to treatment with our product candidates, or new patients may become increasingly difficult to identify, all of which may adversely affect our ability to grow and generate revenue and adversely affect our results of operations and our business. In addition, even in instances where we are able to expand the number of patients being treated, the number may be offset by the number of patients that discontinue use of the applicable product in a given period resulting in a net loss of patients and potentially decreased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significant competition from biotechnology and pharmaceutical companies, and if we continue to progress the development of our product candidates, our operating results will suffer if we fail to compete effectively.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biotechnology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a product candidate we develop is approved, we will face intense competition. There are many public and private biopharmaceutical companies, universities, government agencies and other research organizations actively engaged in the research and development of products that may be like our product candidates or address similar markets. Mergers and acquisitions in the pharmaceutical, biotechnology and diagnostic industries may result in even more resources being concentrated among a smaller number of our competitors. These competitors also compete with us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If we successfully develop and, if approved, commercialize RLYB116, this therapy may compete with anticoagulants such as Warfarin, or potentially be used in conjunction, with currently marketed treatments and any new therapies that may become available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competition could render any product candidate we develop obsolete, less competitive, or uneconomical. In addition, product candidates developed by our competitors may prove to be more safe or more effective than our product candidates. Our competitors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have significantly greater name recognition and financial, manufacturing, marketing, product development, technical, commercial infrastructure, and human resources than we do;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effectively recruit and retain qualified scientific and management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effectively establish clinical trial sites and patient registration;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 and commercialize products that are safer, more effective, less expensive, more convenient, or easier to administer, or have fewer or less severe side effects;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 quicker regulatory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better protect their patents and intellectual property or acquire technologies that are complementary to, or necessary for, our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implement more effective approaches to sales, marketing, pricing, coverage, market access, and reimbursement;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form more advantageous strategic alliances or collaborations.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not able to effectively compete for any of the foregoing reasons,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Disruptions in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if we continue to progress the development of our product candidates, could negatively impact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Disruptions at the FDA and other agencies may also slow the time necessary for new drugs to be reviewed or approved by necessary government agencies, which would adversely affect our business. For example, in recent years, including for 43 days beginning on October 1, 2025 and for 35 days beginning on December 22, 2018, the U.S. government has shut down several times and certain regulatory agencies, such as the FDA, have had to furlough critical employees and stop critical activities. The Trump Administration has reduced the number of employees serving in government agencies, including the FDA. If a prolonged government shutdown occurs, or if the U.S. government takes other personnel actions, it could significantly impact the ability of the FDA to timely review and process our regulatory submissions,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obtain marketing approval for a product candidate in the United States, we or our current or future collaborators may never obtain approval for or commercialize the product candidate in any other jurisdiction, which would limit our ability to realize its full market potential.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market any product in a particular jurisdiction, we or our current or future collaborators must establish and comply with numerous and varying regulatory requirements regarding safety and efficacy on a country-by-country basis. Approval by the FDA in the United States does not ensure approval by comparable regulatory authorities in other countries or jurisdictions. However, the failure to obtain approval in one jurisdiction may negatively impact our or our collaborators’ ability to obtain approval elsewhere. In addition, clinical trials conducted in one country may not be accepted by regulatory authorities in other countries, and regulatory approval in one country does not guarantee regulatory approval in any other country.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jurisdiction, including in international markets, and we do not have experience in obtaining regulatory approval in international markets. If we or our collaborators fail to comply with regulatory requirements in international markets or to obtain and maintain required approvals, or if regulatory approvals in international markets are delayed, our target market will be reduced and we will be unable to realize the full market potential of any product we develop.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obtain marketing approval for any of our product candidates, we will still face extensive and ongoing regulatory requirements and obligations and continued regulatory review, which may result in significant additional expense. We may be subject to penalties if we fail to comply with regulatory requirements or experience unanticipated problems with any product candidates.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product candidate for which we obtain marketing approval will be subject to extensive and ongoing requirements of the FDA and other regulatory authorities. These requirements include submissions of safety and other post- marketing information and reports, establishment registration and drug listing requirements, continued compliance with the FDA's current Good Manufacturing Practice ("cGMP") requirements regarding the distribution of samples to physicians and recordkeeping and Good Laboratory Practice ("GLP") and GCP requirements for non-clinical studies and any clinical trials that we conduct post-approval.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FDA may also require costly post-marketing studies or clinical trials and surveillance to monitor the safety or efficacy of a product. Additionally, the FDA closely regulates the post-approval marketing and promotion of drugs to ensure drugs are marketed only for the approved indications and in a manner that is consistent with the provisions of the approved labeling. If we market our products for uses beyond their approved indications or otherwise inconsistent with the FDA-approved labeling, we may be subject to enforcement action for off-label marketing by the FDA and other federal and state enforcement agencies, including the Department of Justice. Violation of the Federal Food, Drug, and Cosmetic Act ("FDCA")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later discovery of previously unknown adverse events or other problems with our products, manufacturers, or manufacturing processes or failure to comply with regulatory requirements, may yield various results,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manufacturing such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in the labeling or on the marketing of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product distribution or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requirements to conduct post-marketing studies or additional post-marketing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issuance of warning letters or untitled letters;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to approve pending applications or supplements to approved applications that we submit, or delays in such approvals;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recalls or market withdrawals of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fines, restitution, or disgorgement of profits or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or termination of ongoing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or withdrawal of marketing approvals;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to permit the import or export of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seizure;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injunctions, consent decrees, or the imposition of civil or criminal penalties.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obtain FDA approval for RLYB116, safety risks not identified in our prior clinical trials may first appear after we obtain approval and commercialize RLYB116. Any new post-marketing adverse events may significantly impact our ability to market the drugs and may require that we recall and discontinue commercialization of RLYB116. Furthermore, if any confirmatory post-marketing trial fails to confirm the clinical profile or clinical benefits of RLYB116, the FDA may withdraw its approval, which would materially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cannot predict the likelihood, nature, or extent of government regulation that may arise from future legislation or administrative or executive action, either in the United States or abroad. Further, the FDA’s, EMA’s and other comparable regulatory authorities’ policies may change, and additional government regulations may be enacted that could prevent, limit, or delay regulatory approval of a product candidate or increase the costs and regulatory burden of commercialization.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Furthermore, non-compliance by us or any collaborator with regulatory requirements, including safety monitoring or pharmacovigilance, may also result in significant financial penalties, which would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seek Fast Track designation, Breakthrough Therapy designation, or Priority Medicines ("PRIME") designation for our product candidates, but we might not receive any such designation, and even if we do, such designation may not actually lead to a faster development or regulatory review or approval process.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drug is intended for the treatment of a serious or life-threatening condition, and non-clinical or clinical data demonstrate the potential to address an unmet medical need for this condition, the product candidate may qualify for FDA Fast Track designation, for which sponsors must apply. Sponsors of fast-track products may have more frequent interactions with the FDA, and, in some circumstances, the FDA may initiate review of sections of a fast track product’s application before the application is complete. We may submit an application for Fast Track designation for RLYB116. The FDA has broad discretion whether to grant this designation, and we may not receive it. Moreover, even if we receive Fast Track designation, Fast Track designation does not ensure that we will receive marketing approval and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we also may seek a Breakthrough Therapy designation for some of our product candidates if future results support such designation. A Breakthrough Therapy is defined as a drug (including biologic)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Sponsors of products that have been designated as breakthrough therapies are eligible to receive more intensive FDA guidance on establishing an efficient drug development program, an organization commitment involving senior managers, and may be eligible for rolling review. Drugs designated as breakthrough therapies by the FDA may also be eligible for other expedited review programs, including accelerated approval and priority review, if supported by clinical data at the time the BLA or NDA is submitted to the FDA.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Designation as a Breakthrough Therapy is within the discretion of the FDA. Accordingly, even if we believe that a product candidate meets the criteria for designation as a Breakthrough Therapy, the FDA may disagree and instead determine not to make such designation. Even if we receive Breakthrough Therapy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European Union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("MA") application through the centralized procedure. To be accepted for PRIME, a product candidate must meet the eligibility criteria in respect of its major public health interest and therapeutic innovation based on information that can substantiate the claims. The benefits of a PRIME designation include the appointment of a Committee for Medicinal Products for Human Use (“CHMP”) rapporteur to provide continued support and help to build knowledge ahead of a MA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("HTA")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be unsuccessful in obtaining or may be unable to maintain the benefits associated with orphan drug designation, including the potential for market exclusivity. If our competitors are able to obtain orphan drug exclusivity for products that constitute the same drug and treat the same indications as RLYB116 or any of our other product candidates, we may not be able to have competing products approved by the applicable regulatory authority for a significant period of time.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Regulatory authorities in some jurisdictions, including the United States and the EU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of more than 200,000 in the United States where there is no reasonable expectation that the cost of developing the drug will be recovered from sales in the United States. In the EU, the EMA’s Committee for Orphan Medicinal Products evaluates, and the European Commission ("EC") grants, an orphan drug designation principally to promote the development of products that are intended for the diagnosis, prevention or treatment of a life-threatening or chronically debilitating condition affecting not more than five in 10,000 persons in the EU. In addition, the product under consideration is indicated for a condition where there exists no satisfactory method of diagnosis, prevention or treatment authorized in the EU or, if such method exists, that the medicinal product will be of significant benefit to those affected by that condition. We may seek orphan drug designation in the United States and the EU for certain of our product candidates but may be unsuccessful in doing so. There can be no assurance that the FDA or the EMA’s Committee for Orphan Medicinal Products will consider orphan designation for any indication for which we apply or re-apply, or that we will be able to maintain such designation. In the United States, orphan drug designation entitles a party to financial incentives such as opportunities for grant funding towards clinical trial costs, tax advantages and user-fee waivers. Orphan drug designation neither shortens the development time or regulatory review time of a drug nor gives the drug any advantage in the regulatory review or approval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the same orphan designation for that time period, except in limited circumstances, such as a showing of clinical superiority to the product with orphan drug exclusivity or where the manufacturer is unable to assure sufficient product quantity. In the United States, the exclusivity period is seven years. The applicable exclusivity period is ten years in Europe, but such exclusivity period can be reduced to six years in Europe if a product no longer meets the criteria for orphan designation or if the product is sufficiently profitable so that market exclusivity is no longer justified.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Similarly, in the EU, the market exclusivity can be broken if the holder of the MA for the original orphan medicinal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is unable to supply sufficient quantities of the medicinal product. In addition, in both the United States and EU, if a different drug is subsequently approved for marketing for the same or a similar indication as any of our product candidates that receive marketing approval, we may face increased competition and lose market share regardless of orphan drug exclusivity, which only protects against approval of the “same” drug for the same indication.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seek accelerated approval by the FDA for one or more of our product candidates. Accelerated approval by the FDA, even if granted for any of our product candidates, may not lead to a faster development or regulatory review or approval process and it does not increase the likelihood that our product candidates will receive marketing approval.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As a condition of approval, the FDA requires that a sponsor of a product receiving accelerated approval perform a post-marketing confirmatory clinical trial or trials. In addition, the FDA currently requires as a condition for accelerated approval the pre-submission of promotional materials to FDA for review.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there can be no assurance that such submission or application will be accepted or that the FDA will determine that the product candidate is eligible for or grant accelerated approval. A failure to obtain any planned accelerated approval for our product candidates would result in a longer time period to commercialization of our product candidates, if approved, could increase the cost of development of our product candidates and could harm our competitive position in the marketplace. If we receive accelerated approval for any of our product candidates, the FDA may withdraw accelerated approval if, among other things, a confirmatory trial required to verify the predicted clinical benefit of the product fails to verify such benefit or if such trial is not conducted with due diligence. Withdrawal of any accelerated approval could substantially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the successful commercialization of any product candidate we develop will depend in part on the extent to which regulatory authorities and private health insurers establish coverage and reimbursement. Failure to obtain or maintain coverage and reimbursement for our product candidates, if approved, could limit our ability to market those products and decrease our ability to generate revenue.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product candidate is approved for marketing, coverage and reimbursement for such product by governmental healthcare programs, such as Medicare and Medicaid, private health insurers, and other third-party payors would be essential for most patients to be able to afford the prescription medication. Our ability to achieve acceptable levels of coverage and reimbursement for products or procedures using our products will therefore have an effect on our ability to successfully commercialize any product candidates we develop. We cannot be sure that coverage and reimbursement will be available for our product candidates, if and when such candidates obtain marketing approval, and any reimbursement that may become available may not be adequate and may be decreased or eliminated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increasing efforts by governmental and third-party payors in the United States to cap or reduce healthcare costs may cause third-party payors to limit both coverage and the level of reimbursement for newly approved products and, as a result, such payors may not cover or provide adequate payment for any product we commercialize. We expect to experience pricing pressures in connection with the sale of our product candidates due to the trend toward managed health care and additional legislative, administrative, or regulatory changes. The downward pressure on healthcare costs in general, particularly prescription drugs and biologics and related administration procedures, has become intense and new products face increasing challenges in entering the market successfully. Third-party payors are increasingly challenging the price and examining the cost-effectiveness of new products in addition to their safety and efficacy. To obtain or maintain coverage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reimbursement for any product, we may need to conduct expensive pharmacoeconomic studies to demonstrate the medical necessity and cost-effectiveness of our product.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also need to provide discounts to purchasers to encourage purchasing of any approved product and rebates to third party payors to increase the possibility of favorable coverage and adequate cost sharing thresholds for patients. We may be required to provide discounts or rebates on any approved product under government healthcare programs or to certain government and private purchasers in order to obtain coverage under federal health care programs such as Medicaid. Participation in such programs would require us to track and report certain drug prices. We may be subject to fines and other penalties if we fail to report such prices accurately.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 uniform policy for coverage and reimbursement for products exists among third-party payors in the United States. Therefore, coverage and reimbursement for products can differ significantly from payor to payor, and one third-party payor’s decision to cover a particular product does not ensure that other payors will also provide similar coverage. Additionally, the process for determining whether a third-party payor will provide coverage for a product is typically separate from the process for setting the price of such product or establishing the reimbursement rate that the payor will pay for the product once coverage is approved. As a result, the coverage determination process is often a time-consuming and costly process that will require us to provide scientific and clinical support for the use of our product candidates to each payor separately, with no assurance that coverage and reimbursement will be obtained or will be consistent across payors. And, even if products are covered, third party payors may implement various mechanisms to control utilization (e.g., requiring prior approval for coverage for each patient). Additionally, coverage and reimbursement for screening and diagnostic tests associated with any products would be assessed and determined separately. Furthermore, rules and regulations regarding reimbursement change frequently, in some cases at short notice, and we believe that changes in these rules and regulations are likely. If coverage or reimbursement is not available or is available only at limited levels, we may not be able to successfully commercialize our product candidates and may not be able to obtain a satisfactory financial return on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also be subject to extensive governmental price controls and other market regulations outside of the United States, and we believe the increasing emphasis on cost-containment initiatives in other countries have and will continue to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of the United States, the reimbursement for products we commercialize may be reduced compared with the United States and may be insufficient to generate commercially reasonable revenue and profits.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even if a product candidate we develop receives marketing approval, it may fail to achieve market acceptance by physicians, patients, third-party payors or others in the medical community necessary for commercial success.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Even if our product candidates receive regulatory approval, they may not gain market acceptance among physicians, patients, healthcare payors and the medical community. Various factors will influence whether our product candidates are accepted in the market if approved for commercial sale,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efficacy, safety and tolerability of our products, and potential advantages compared to alternative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clinical indications for which the product is approved, and product labeling or product insert requirements of the FDA, EMA or other comparable foreign regulatory authorities, including any limitations or warnings contained in a product’s approved labeling;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effectiveness of sales and marketing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prevalence and severity of any side effects;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treatment in relation to alternative treatments, including any similar treatments;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offer our products for sale at competitive prices;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and access to screening and/or diagnostic tests;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convenience and ease of administration compared to alternative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the target patient population to try new therapies and of physicians to prescribe these therapies;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strength of marketing and distribution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third-party coverage and reimbursement for any of our products that are approved and any screening and/or diagnostic testing, as appropriate;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restrictions on the use of our product together with other medications.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Market acceptance of our product candidates is heavily dependent on patients’ and physicians’ perceptions that our product candidates are safe and effective treatments for their targeted indications and willingness to use screening and/or diagnostic tests to identify at-risk target populations for our therapeutics. The perceptions of any product are also influenced by perceptions of competitors’ products that are in the same class or that have a similar mechanism of action. Because we expect sales of our product candidates, if approved, to generate substantially all our revenues in the foreseeable future, the failure of our product candidates to find market acceptance would harm our business and could require us to seek additional financing.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approved, our product candidates that are regulated as biologics may face competition from biosimilars approved through an abbreviated regulatory pathway.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Biologics Price Competition and Innovation Act of 2009 ("BPCIA") was enacted as part of the Affordable Care Act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sponsor’s data or submit the application as a biosimilar application. Any new policies or processes adopted by the FDA could have a material adverse effect on the future commercial prospects for our biological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and are unable to establish sales, marketing and distribution capabilities either on our own or in collaboration with third parties, we may not be successful in commercializing any product candidates we develop, if approved.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market and successfully commercialize any product candidates we develop, if approved, we must build our sales and marketing capabilities or enter into collaborations with third parties for these services. We currently have no sales, marketing or distribution capabilities and as a company have no experience in marketing products. If we commercialize any of our product candidates that may be approved ourselves, we will need to develop an in-house marketing organization and sales force across rare disease therapeutic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which will require significant expenditures, management resources, and time. There are significant expenses and risks involved with establishing our own sales and marketing capabilities, including our ability to hire, train, retain, and appropriately incentivize a sufficient number of qualified individuals, generate sufficient sales leads and provide our sales and marketing team with adequate access to physicians who may prescribe our products, effectively manage a geographically dispersed sales and marketing team, and other unforeseen costs and expenses. We will have to compete with other pharmaceutical and biotechnology companies to recruit, hire, train, and retrain marketing and sales personnel. Any failure or delay in the development of a product candidate that affects the expected timing of commercialization of the product candidate or results in the failure of the product candidate to be commercialized could result in us having prematurely or unnecessarily incurred costly commercialization expenses. Our investment would be lost if we are unable to retain or reposition our sales and marketing personnel.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also enter into collaborations for the sales and marketing of our product candidates, if approved. To the extent that we depend on collaborators for sales and marketing activities, any revenues we receive will depend upon the success of those collaborators’ sales and marketing teams and the collaborators’ prioritization of our products and compliance with applicable regulatory requirements, and there can be no assurance that the collaborators’ efforts will be successful. If we are unable to build our own sales and marketing team or enter into a collaboration for the commercialization of product candidates we develop, if approved, we may be forced to delay the commercialization of our product candidates or reduce the scope of our sales or marketing activities, which would have an adverse effect on our business, operating results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Under the current presidential administration, we face uncertainty regarding potential regulatory developments that may adversely affect our business if we continue to progress the development of our product candidates.</w:t>
      </w:r>
    </w:p>
    <w:p>
      <w:pPr>
        <w:pStyle w:val="TextBody"/>
        <w:bidi w:val="0"/>
        <w:spacing w:lineRule="auto" w:line="288" w:before="0" w:after="0"/>
        <w:jc w:val="left"/>
        <w:rPr/>
      </w:pPr>
      <w:r>
        <w:rPr>
          <w:rFonts w:ascii="Arial;sans-serif" w:hAnsi="Arial;sans-serif"/>
          <w:b w:val="false"/>
          <w:color w:val="000000"/>
          <w:sz w:val="20"/>
        </w:rPr>
        <w:t>There have been significant and wide-ranging changes in law, regulation and policy under the current Trump administration. Current and future adopted legislation, regulation, or policy could adversely affect our business or create a more challenging and costly environment to pursue the development and commercialization of our current or future product candidates. For example, the federal government, including the</w:t>
      </w:r>
      <w:r>
        <w:rPr>
          <w:color w:val="FF0000"/>
        </w:rPr>
        <w:t xml:space="preserve"> </w:t>
      </w:r>
      <w:r>
        <w:rPr>
          <w:rFonts w:ascii="Arial;sans-serif" w:hAnsi="Arial;sans-serif"/>
          <w:b w:val="false"/>
          <w:color w:val="000000"/>
          <w:sz w:val="20"/>
        </w:rPr>
        <w:t>FDA, may implement legislative, regulatory, or policy changes regarding the standards for approving biologic products that we may be unable to satisfy or regarding the marketing of approved biologics that may limit or prohibit the advertising and promotion of our current or future product candidates, if approved. Additionally, the Trump administration has undertaken significant efforts to reduce the size and spending of the federal government, including at the FDA. A significant reduction in the FDA's workforce or the FDA's budget or other disruptions at the FDA could impact the FDA’s ability to engage in routine regulatory and oversight activities and result in delays or limitations on our ability to proceed with clinical development programs and obtain regulatory approvals.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Dependence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pursue business development transactions and collaborate with third parties for the development and commercialization of our product candidates. We may not succeed in identifying and acquiring businesses or assets, in-licensing or out-licensing intellectual property rights or establishing and maintaining collaborations, which may significantly limit our ability to successfully develop and commercialize our product candidates, if at all, and these transactions could disrupt our business, cause dilution to our stockholders or reduce our financial resources.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acquired all rights to RLYB116 and RLYB114 from Sobi in 2019. We also obtained worldwide exclusive rights to RLYB332 from Sanofi in 2022. If we continue to progress the development of our product candidates, we may acquire or in-license rights to product candidates, products or technologies, acquire other businesses or enter into collaborations with third parties. We may not be able to enter into such transactions on favorable terms, or at all. Any such acquisitions, in-licenses or collaborations may not strengthen our competitive position, and these transactions may be viewed negatively by analysts, investors, customers, or other third parties with whom we have relationships. We may decide to incur debt in connection with an acquisition, or in-license or issue our common stock or other equity securities as consideration for the acquisition, which would reduce the percentage ownership of our existing stockholders.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or in-licenses or the effect that any such transactions might have on our operating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not realize the anticipated benefits of any current or future collaboration, each of which involves or will involve numerous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shift its priorities and resources away from our product candidates due to a change in business strategies, or a merger, acquisition, sale, or downsizing;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seek to renegotiate or terminate its relationship with us due to unsatisfactory clinical results, manufacturing issues, a change in business strategy, a change of control or other reasons;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cease development in therapeutic areas that are the subject of our collaboration;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not devote sufficient capital or resources towards our product candidates, or may fail to comply with applicable regulatory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change the success criteria for a product candidate, thereby delaying or ceasing development of such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significant delay in initiation of certain development activities by a collaborator will also delay payment of milestones tied to such activities, thereby impacting our ability to fund our own activities;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could develop a product that competes, either directly or indirectly, with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with commercialization obligations may not commit sufficient financial resources or personnel to the marketing, distribution, or sale of a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with manufacturing responsibilities may encounter regulatory, resource, or quality issues and be unable to meet demand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terminate a strategic alliance;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dispute may arise between us and a collaborator concerning the research, development, or commercialization of a product candidate resulting in a delay in milestones or royalty payments or termination of the relationship and possibly resulting in costly litigation or arbitration, which may divert management’s attention and resources;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collaborator may use our products or technology in such a way as to invite litigation from a third-party.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collaborations on acceptable terms or to successfully transition away from terminated collaborations, we may have to delay or discontinue further development of one or more of our product candidates, undertake development and commercialization activities at our own expense, or find alternative sources of capital, which would have a material adverse impact on our clinical development plans and business.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face significant competition in identifying and acquiring businesses or assets, in-licensing intellectual property rights and seeking appropriate collaboration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products or product candidates available for licensing from or in connection with collaborations with other companies. Our success in acquiring business or assets or in partnering with collaborators may depend on our history or perceived capability of successful product development. Even if we are successful in our efforts to acquire businesses or assets, in-license intellectual property rights or establish collaborations, we may not be successful in developing such product candidates or technologies or able to maintain such collaborations if, for example, development or approval of a product candidate is delayed or sales of an approved product are disappointing.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reliance on a central team consisting of a limited number of employees and third parties who provide various administrative, research and development, and other services across our organization presents operational challenges that may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June 30, 2026, we had 7 full-time employees, upon whom we rely for various administrative, research and development, business development and other support services shared among our subsidiaries. The size of our centralized team may limit our ability to devote adequate personnel, time, and resources to support the operations of all of our subsidiaries, including their research and development activities, the management of financial, accounting, and reporting matters, and the oversight of our third-party vendors and partners. If our centralized team or our third-party vendors and partners performing such functions fail to provide adequate administrative, research and development, or other services across our entire organization,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employees and independent contractors, including principal investigators, CROs, consultants and vendors, may engage in misconduct or other improper activities, including noncompliance with regulatory standards and requirements, which could have a material adverse effect on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various laws, including: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such as the improper use or misrepresentation of information obtained in the course of clinical trials, creation of fraudulent data in preclinical studies or clinical trials, or illegal misappropriation of drug product, could also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agency could allege such fraud or other misconduct, even if none occurred. If any such actions are instituted against us or them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currently rely and will rely on third parties for the manufacture of drug substance and drug product for our preclinical studies and clinical trials and, if we continue to progress the development of our product candidates, expect to continue to do so for commercialization of any product candidates that we may develop that are approved for marketing. Our reliance on third parties may increase the risk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not have sufficient quantities of such drug substance, product candidates, or any products that we may develop and commercialize, or that such supply will not be available to us at an acceptable cost, which could delay, prevent, or impair our development or commercialization efforts.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limited personnel with experience in manufacturing, and we do not own facilities for manufacturing RLYB116 or any other product candidate. Instead, we rely on and expect to continue to rely on contract manufacturers for the supply of cGMP-drug substance and drug product of RLYB116 and any other product candidates we develop and, in the future, for commercial supply. Reliance on third parties may expose us to more risk than if we were to manufacture our product candidates ourselves.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be unable to establish necessary supply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breach of the manufacturing agreement by the third-party;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termination or nonrenewal of the agreement by the third-party at a time that is costly or inconvenient for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reliance on the third-party for regulatory compliance, quality assurance, safety, and pharmacovigilance and related reporting;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inability of third-party suppliers to supply and/or transport materials, components and products to us in a timely manner as a result of disruptions to the global supply chain.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Third-party manufacturers may fail to comply with cGMP regulations or similar regulatory requirements outside the United States.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Moreover,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provide oversight of manufacturing activities, we have limited ability to control the execution of manufacturing activities by, and are or will be dependent on, our CMOs for compliance with cGMP requirements for the manufacture of our product candidates by our CMOs. As a result, we are subject to the risk that our product candidates may have manufacturing defects or fail to comply with regulatory requirements, which we have limited ability to prevent. CMOs may also have competing obligations that prevent them from manufacturing our product candidates in a timely manner. If a CMO cannot successfully manufacture drug substance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and we were not involved in developing our CMOs’ policies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facilities and processes used to manufacture our product candidates are subject to inspection by the FDA, EMA and other comparable foreign authorities. If the FDA, EMA or other comparable foreign regulatory authority finds deficiencies with or does not approve these facilities for the manufacture of our product candidates or if it withdraws any such approval or finds deficiencies in the future, we may need to find alternative manufacturing facilities or conduct additional studies, which would delay our development program and significantly impact our ability to develop, obtain regulatory approval for, or commercialize our product candidates, if approved. Furthermore, CMOs may breach existing agreements they have with us because of factors beyond our control. They may also terminate or refuse to renew their agreement at a time that is costly or otherwise inconvenient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us. Finding new CMOs or third-party suppliers involves additional cost and requires our management’s time and focus. In addition, there is typically a transition period when a new CMO commences work.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significant delay in the supply of our product candidates or the raw materials needed to produce our product candidates, could considerably delay conducting our clinical trials and potential regulatory approval of our product candidates. If we were unable to find an adequate CMO or another acceptable solution in time, our clinical trials could be delayed, or our commercial activities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rely on and will continue to rely on CMOs to purchase from third-party suppliers the raw materials necessary to produce our product candidates. We have limited ability to control the process or timing of the acquisition of these raw materials by our CMOs. Moreover, we currently do not have any agreements for the production of these raw materials. Supplies of raw materials could be interrupted from time to time and we cannot be certain that alternative supplies could be obtained within a reasonable time 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 Moreover, our product candidates utilize drug substances that are produced on a small scale, which could limit our ability to reach agreements with alternative suppliers.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collaborators also may breach their agreements with us or otherwise fail to perform to our satisfaction, which could impact the development timeline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will continue to rely on third parties to conduct, supervise, and monitor our preclinical studies and clinical trials. If we fail to effectively oversee and manage these third parties, if they do not successfully carry out their contractual duties, or if they perform in an unsatisfactory manner, it may harm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rely, and will continue to rely, on CROs, CRO-contracted vendors, and clinical trial sites to ensure the proper and timely conduct of our clinical trials. Our reliance on CROs for clinical development activities limits our control over these activities, but we remain responsible for ensuring that each of our trials is conducted in accordance with the applicable protocol and legal, regulatory, and scientific standards.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and our CROs will be required to comply with the GLP requirements for our preclinical studies and GCP requirements for our clinical trials.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and may require a large number of patients. Our failure or any failure by our CROs, investigators, CMOs or other third parties to comply with regulatory requirements or to recruit enough patients may delay ongoing or planned clinical trials or require us to repeat clinical trials, which would delay the regulatory approval process. Failure by us or by third parties we engage to comply with regulatory requirements can also result in fines, adverse publicity, and civil and criminal sanctions. Moreover, our business may be implicated if any of these third parties violates federal or state fraud and abuse or false claims laws and regulations or healthcare privacy and security laws.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CROs, vendors and clinical trial investigators are not our employees, and we do not control whether they devote sufficient time and resources to our clinical trials. These third parties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and other third parties involved in our preclinical studies and clinical trials, which may reduce our trade secret protection and allow our potential competitors to access and exploit our proprietary technology. If our CROs and other third parties involved in our trials do not successfully carry out their contractual duties or obligations, or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candidates that we develop. As a result, our financial results and the commercial prospects for any product candidates that we develop would be harmed, our costs could increase, and our ability to generate revenue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relationship with any CRO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Healthcare Laws and Other Legal Compliance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enacted and future healthcare legislation may increase the difficulty and cost for us to obtain marketing approval of and commercialize our product candidates, if approved, and may affect the prices we may set.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and other jurisdictions, there have been, and we expect there will continue to be, a number of legislative and regulatory changes, and additional proposed changes, to the healthcare system that could affect our future results of operations. In particular, there have been and continue to be a number of initiatives at the U.S. federal and state levels that seek to reduce healthcare costs and improve the quality of health care. As an earlier example with longstanding impact, in March 2010, the ACA was enacted, which substantially changed the way healthcare is financed by both governmental and private insurers. The ACA expanded health care coverage through a Medicaid eligibility expansion and the implementation of the individual mandate for health insurance coverage. The ACA also imposed an annual fee payable on manufacturers of branded prescription drugs and biologic agents (other than those designated as orphan drugs) and implemented changes to the coverage and reimbursement of drug products under government healthcare programs, including an expansion in the Medicaid drug rebate program, an increase in the statutory minimum rebates a manufacturer must pay under the Medicaid drug rebate program, and the establishment of a new Medicare Part D coverage gap discount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Beyond the ACA, there have been ongoing healthcare reform efforts, including efforts focused on drug pricing and payment.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negotiated prices for the first set of drugs taking effect in 2026). The IRA has had and will likely continue to have a significant impact on the pharmaceutical industry. Additionally, changes to Medicaid effective in 2024 eliminated the Medicaid rebate cap, and changes to certain Medicare price reporting requirements for drugs beginning in 2026 will likely increase the administrative and compliance burden for manufacturers.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that is anticipated to offer pharmaceutical direct-to-consumer channels in the future has also been launched.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proposed Medicare Part B and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reform efforts have been and may continue to be subject to scrutiny, legal challenge and subsequent amendment, creating further uncertainty.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recent government actions may also affect prices or payments for prescription drugs. For example, the Trump Administration’s recently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as amended, resulted in the imposition of reductions in Medicare (but not Medicaid) payments to providers in 2013 and will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or other reform initiatives could affect demand for, or pricing of, any future products if approved for sale. We cannot, however, predict the ultimate content, timing or effect of any federal and state reform efforts. There is no assurance that federal or state health care reform will not adversely affect our future business and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our business operations and current and future relationships with contractors, investigators, healthcare professionals,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third-party payors, patient organizations, customers, and others will be subject to applicable healthcare regulatory laws, which could expose us to penalties.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operations and current and future arrangements with contractors,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some of which may apply only after our products are approved for marketing,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FDCA, which among other things, strictly regulates drug marketing, prohibits manufacturers from marketing such products prior to approval or for off-label use and regulates the distribution of samples;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laws that require pharmaceutical manufacturers to calculate, report and certify certain complex product prices to the government or provide certain discounts or rebates to government authorities or private entities, often as a condition of reimbursement under government healthcare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Open Payments (or federal “sunshine” law), which requires pharmaceutical and medical device companies to monitor and report certain financial interactions with certain healthcare providers to CMS for re-disclosure to the public, as well as ownership and investment interests held by physicians and their immediate family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consumer protection and unfair competition laws, which broadly regulate marketplace activities and activities that potentially harm consumers;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analogous U.S. state laws and regulations, including: state anti-kickback and false claims laws; state laws requiring pharmaceutical companies to comply with specific compliance standards, restrict financial interactions between pharmaceutical companies and healthcare providers or report information related to payments to health care providers, marketing expenditures or drug prices; state and local laws requiring the registration of pharmaceutical sales representatives; state laws regulating the manufacture and distribution of biopharmaceutical products; and state laws governing privacy, security, and breaches of health information in certain circumstances, many of which differ from each other in significant ways and often are not preempted by HIPAA, thus complicating compliance efforts;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laws and regulations prohibiting bribery and corruption, such as the U.S. Foreign Corrupt Practices Act of 1977, as amended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similar healthcare laws and regulations in the EU and other jurisdictions, including reporting requirements detailing interactions with and payments to healthcare providers and laws governing the privacy and security of personal information, such as, where applicable, the General Data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Regulation ("GDPR") which imposes obligations and restrictions on the collection, use, and disclosure of personal data relating to individuals located in the EU and the EU/European Economic Area ("EEA") (including health data). See “—Our business operations may subject us to data protection laws, including the GDPR, the United Kingdom ("UK") GDPR, the California Consumer Privacy Act, as amended by the California Privacy Rights Act (collectively, "CCPA") and other similar laws."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Efforts to ensure that our business arrangements with third parties will comply with applicable healthcare and other laws and regulations will involve substantial costs. Given the breadth of the laws and regulations and narrowness of any exceptions, limited guidance for certain laws and regulations and evolving government interpretations of the laws and regulations, regulatory authorities may possibly conclude that our business practices may not comply with healthcare laws and regulations, including our consulting agreements and other relationships with healthcare providers.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operations are found to be in violation of any of the laws described above or any other governmental laws and regulations that may apply to us, we may be subject to actions including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Further, defending against any such actions can be costly, time consuming, and may require significant personnel resources. Therefore, even if we are successful in defending against any such actions that may be brought against us, our business may be impaired.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operations may subject us to data protection laws, including the GDPR, the UK GDPR, the CCPA and other similar laws.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GDPR and UK GDPR apply to companies established in the EEA and UK, respectively, as well as to companies that are not established in the EEA or UK, respectively, and which collect and use personal data in relation to (i) offering goods or services to, or (ii) monitoring the behavior of, individuals located in the EEA or UK, respectively. If we conduct clinical trial programs in the EEA or UK (whether the trials are conducted directly by us or through a clinical vendor or collaborator), enter into research collaborations involving the monitoring of individuals in the EEA or UK, or market our products to individuals in the EEA or UK, we will be subject to the GDPR or UK GDPR, as applicable, which place stringent operational requirements for processors and controllers of personal data of individuals in the EEA and UK, respectively. If our or our collaborators’ or service providers’ privacy or data security measures fail to comply with the GDPR or UK GDPR requirements, we may be subject to litigation, regulatory investigations, enforcement notices requiring us to change the way we use personal data, temporary or definitive bans on data processing, or fines of up to 20 million Euros in the case of GDPR or £17.5 million in the case of UK GDPR or, in each case, up to 4% of our total worldwide annual revenue of the preceding financial year, whichever is higher, as well as compensation claims by affected individuals, including class-action type litigation, negative publicity, reputational harm and a potential loss of business and goodwill.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Recent legal developments in Europe have created complexity and uncertainty regarding transfers of personal data from the EEA and the UK to the United States. On July 16, 2020, the Court of Justice of the European Union ("CJEU") invalidated the EU-US Privacy Shield Framework (the "Privacy Shield") under which personal data could be transferred from the EEA to US entities who had self-certified under the Privacy Shield scheme. This framework has been replaced by the E.U.-U.S. Data Privacy Framework, for which the EC adopted an adequacy decision in July 2023, and the UK Extension to the E.U.-U.S. Data Privacy Framework, which took effect in October 2023. While we do not currently rely upon these frameworks, we expect there to be legal challenges to this framework in the future, which could draw into question the legitimacy of other cross-border transfer mechanisms, including the standard contractual clauses on which we rely to transfer personal data from the EEA and UK to the U.S. and other jurisdictions. On June 4, 2021, the EC released two revised sets of standard contractual clauses for transfers of personal data from the EEA to the U.S. and has indicated that it will release additional revised standard contractual clauses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recent developments may require us to review and amend the legal mechanisms by which we make and/ or receive personal data transfers to/ in the United States. Other countries outside of the EEA and UK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different privacy laws that we are subject to which may further increase our costs of compliance and expose us to greater legal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While we do not believe that we are directly subject to HIPAA as either a “covered entity” or “business associate,” U.S. sites at which we conduct clinical trials are likely to be covered entities and thus must ensure that they obtain adequate patient authorization or establish another basis under HIPAA to disclose a clinical trial subject’s individually identifiable health information to us and other entities participating in our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the CCPA imposes many obligations for the collection, processing, and sharing of personal information of California residents. The CCPA provides for civil penalties for violations, as well as a private right of action for data breaches that is expected to increase data breach litigation. Because we have not yet generated revenue and do not meet the CCPA’s other jurisdictional tests, we do not yet meet the applicable threshold for the CCPA to apply to our business. If our business becomes subject to CCPA in the future, it could increase our compliance costs and potential liability. Similar laws have been proposed or passed in more than half of the states in the U.S. and in the U.S. Congress. In addition, Washington state enacted the My Health, My Data Act, a health-focused consumer privacy law, which took effect in March 2024. This law imposes obligations related to the collection and sharing of certain health-related information that is not subject to HIPAA and that does not fall within certain other exceptions in the law. Other states have enacted, or are in the process of enacting, similar health-focused consumer privacy laws. Furthermore, all fifty U.S. states, the District of Columbia, Puerto Rico, and other U.S. territories have enacted data breach notification laws that require, among other things, notifications to state governments and/or the affected individuals in the event of a data breach. Such laws differ from one another, and may impose significant compliance burden. Further, we may at times fail, or be perceived to have failed, to have complied with such laws. This could result in significant consequences, which include, but are not limited to, the imposition of fines and penalties, government enforcement actions, investigations and other proceedings, as well as additional reporting requirements and/or oversight.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of note,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which became effective in April 2025. This final rule prohibits certain data brokerage transactions and transactions involving certain bulk human ‘omic data, including human genomic data and biospecimens from which such data can be derived, with restricted jurisdictions, such as the PRC, and “covered persons” that have certain ties to such restricted jurisdictions. The final rule also places restrictions on certain vendor, employment and investment agreements with such jurisdictions. These restrictions may affect our ability to engage in collaborations or license agreements with entities in restricted countries or with a nexus to such countries going forward. As such, we will need to review periodically our operations in comparison to developments in such laws. Achieving and sustaining compliance with applicable international, federal and state privacy, security, and breach reporting laws may prove time-consuming and costly. Failure to comply with any of these legal requirements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subject to environmental, health and safety laws and regulations, and we may become exposed to liability and substantial expenses in connection with environmental compliance or remediation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Intellectual Property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obtain, maintain and enforce patent protection for our technology and product candidates, or if the scope of the patent protection obtained is not sufficiently broad, our competitors could develop and commercialize similar or identical technology and products, and our ability to successfully develop and commercialize our technology and product candidates may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success depends in large part on our ability to obtain and maintain intellectual property, particularly patents, in the United States and other countries, with respect to any proprietary technology and product candidates we develop. If we are unable to obtain or maintain patent protection of proprietary technology or product candidates by filing patent applications and/or in-licensing related intellectual property in commercially relevant jurisdictions, our business, financial condition, results of operations and prospects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 prosecution process is expensive, time-consuming and complex, and we may not be able to identify, file, prosecute, maintain, defend or license all necessary or desirable patent applications at a reasonable cost or in a timely manner. In some circumstances involving technology that we license from third parties, we do not have the sole right to control the preparation, filing and prosecution of patent applications or to maintain, enforce and defend the in-licensed patents. Therefore, these in-licensed patents and applications may not be prepared, filed, prosecuted, maintained, defended and enforced in a manner consistent with the best interests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 rights of pharmaceutical and biotechnology companies generally are highly uncertain, involve complex legal and factual questions and have been the subject of much litigation in recent years. No consistent policy regarding the breadth of claims allowed in biotechnology and pharmaceutical patents has emerged in the United States or in numerous foreign jurisdictions. Various courts, including the U.S. Supreme Court, have rendered decisions that affect the scope of patent eligibility of certain inventions or discoveries relating to biotechnology. These decisions conclude, among other things, that abstract ideas, natural phenomena and laws of nature are not themselves patent eligible subject matter.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Precisely what constitutes a law of nature or abstract idea is uncertain, and certain aspects of our technology could be considered ineligible for patenting under applicable law. In addition, the scope of patent protection outside the United States is uncertain, and laws of foreign countries may not protect our rights to the same extent as the laws of the United States or vice versa. For example, European patent law precludes the patentability of methods of treatment of the human body. With respect to both owned and in-licensed patent rights, we cannot predict whether the patent applications we and our licensors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United States or other countries may diminish the value of our patents and our ability to obtain, protect, maintain, defend and enforce our patent rights, narrow the scope of our patent protection and, more generally, affect the value or narrow the scope of our patent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Publications of discoveries in the scientific literature often lag behind the actual discoveries, and patent applications in the United States and other jurisdictions are typically not published until 18 months after filing, or, in some cases, are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uncertain. In addition, the scope of patent protection outside the United States is uncertain, and laws of foreign countries might not protect our rights to the same extent as the laws of the United States or vice versa.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the coverage claimed in a patent application can be significantly reduced before the patent is issued, and its scope can be reinterpreted after issuance. Even if our patent applications issue as patents, they might not issue in a form that will provide us with any competitive advantage. The issuance of a patent is not conclusive as to its inventorship, scope, validity or enforceability, and our patents might be challenged in a variety of proceedings before courts or patent offices in the United States and abroad. Such challenges might result in loss of exclusivity or in patent claims being narrowed, invalidated or held unenforceable, which could reduce the scope of, or invalidate, our patent rights, allow third parties to commercialize our technology without payment to us, and/or limit the duration of the patent protection of our technology and product candidates. If the breadth or strength of our patents and patent applications is threatened, regardless of the outcome, it could dissuade companies from collaborating with us to license, develop or commercialize current or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these reasons, our patent portfolio might not provide us with sufficient rights to exclude others from using or commercializing technology and products similar or identical to our technology and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Obtaining and maintaining patent protection depends on compliance with various procedural requirements imposed by governmental patent agencies, and our patent protection could be reduced or eliminated for non-compliance with these requirements.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 Patent and Trademark Office ("USPTO") and foreign patent offices have a number of procedural and documentary requirements that must be complied with during the patent application and prosecution process. Periodic fees must be paid to the USPTO and foreign patent offices at several stages or annually over the lifetime of issued patents and pending patent applications. In certain circumstances, we might rely on our licensing partners to meet procedural, documentary, and fee requirements of the relevant patent agency. With respect to our patents, we rely outside counsel to remind us of the due dates and to make payment after we instruct them to do so. While an inadvertent lapse can in many cases be cured, there are situations in which noncompliance can result in abandonment or lapse of the patent or patent application, resulting in partial or complete loss of patent rights in the relevant jurisdiction. If we or our licensors fail to maintain current and future patents and patent applications covering our product candidates, our competitors might be able to enter the market with similar or identical products or technology, which would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not be able to protect our intellectual property and proprietary rights throughout the world.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Filing, prosecuting, and defending patents on product candidates in all countries throughout the world would be prohibitively expensive. In addition, the laws of some foreign countries do not protect intellectual property rights to the same extent as federal and state laws in the United States, and even where such protection is available, adequate judicial and governmental enforcement of such intellectual property rights may be lacking. Consequently, third parties may attempt to develop and/or commercialize competitive products in foreign countries where we do not have any patent protection and/or where legal recourse may be limited. Further, we may not be able to prevent third parties from importing products made using our inventions into the United States or other jurisdictions. This may have a significant commercial impact on our business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we do prevail, the damages or other remedies awarded, if any, may not be commercially meaningful. Accordingly,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efforts to enforce our intellectual property and proprietary rights around the world may be inadequate to obtain a significant commercial advantage from the intellectual property that we develop or license.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Changes to patent laws in the United States and other jurisdictions could diminish the value of our patents, thereby impairing our ability to protect our products.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Changes in either the patent laws or interpretation of patent laws in the United States or other jurisdictions could increase the uncertainties and costs surrounding the prosecution of our patent applications and the maintenance, enforcement or defense of our issued patents, all of which could have a material adverse effect on our business. For example, in 2023, patent reform in the EU created a unitary patent and established a Unified Patent Court ("UPC"). The unitary patent facilitates validation of a patent granted by the European Patent Office in the EU member states that participate in the unitary patent. The UPC is a centralized body with jurisdiction over actions for preliminary injunctions, infringement, and revocation of patents granted by the European Patent Office. While the UPC has exclusive jurisdiction over unitary patents, patentees that do not utilize the unitary patent for validation can opt existing or future patents out of the jurisdiction of the UPC. There are both risks and benefits associated with pursuing Unitary Patents and with submitting to the jurisdiction of the UPC in the absence of a Unitary Patent. For example, because the UPC is a relatively new forum, little precedent exists, and the manner in which European patent law will be applied by the UPC is unpredictable, which presents potential risks to a patent’s scope and enforceability. In addition, an unfavorable outcome before the UPC could result in a European patent being invalidated in all participating member states. In comparison, European patents that are not under the jurisdiction of the UPC must be litigated separately in each member state, which causes patent challengers to incur additional costs and leaves open the possibility that a challenged patent could be affirmed in some member states, even if it is invalidated in others. From an enforcement perspective, the ability to assert patents against infringers under the UPC system could have significant financial benefits for a patentee, due to the ability to litigate in a single forum, rather than in each individual member state.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Currently, we do not have any unitary patents and we have opted out of UPC jurisdiction for our existing European patents. While we have and will continue to make case-by-case decisions about whether to pursue unitary patents or to elect the jurisdiction of the UPC, we cannot be certain that a more favorable outcome could be achieved if the opposite decision were made. We also cannot be certain whether the legal precedent of the UPC will evolve in a manner that is more or less favorable to us than the precedent of individual member states in a given situation or for a given patent.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legislative changes, recent U.S. Supreme Court rulings have narrowed the scope of patent protection available in certain circumstances and weakened the rights of patent owners in certain situations. This combination of events has increased uncertainty with respect to the validity and enforceability of patents once obtained. Similarly, foreign courts have made, and will likely continue to make, changes in how the patent laws in their respective jurisdictions are interpreted. Further, political changes in government leadership both within and outside of the U.S. could result in changes to national patent laws and regulations or multi-country intellectual property treaties, which could impact patent enforcement in the U.S. and internationally.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obtain licenses from third parties on commercially reasonable terms, our business could be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our existing licensing agreements, it may be necessary for us to use the patented or proprietary technology of third parties to commercialize our products, if approved, in which case we would be required to obtain a license from these third parties. The in-licensing and acquisition of third-party intellectual property rights is a competitive area, and a number of more established companies are also pursuing strategies to in-license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These factors might mean fewer suitable licensing opportunities for us, as well as higher acquisition or licensing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obtain a necessary license, the third parties owning such intellectual property rights could seek an injunction prohibiting our development and/or commercialization of the affected product candidates. Even if we are able to obtain a license, the terms may be unfavorable; for example, it may require substantial licensing or royalty payments, or be non-exclusive, thereby giving our competitors access to the same technologies licensed to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obtain third-party intellectual property rights or to maintain our existing intellectual property rights,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our obligations in our intellectual property licenses with third parties, or otherwise experience disruptions to our business relationships with our licensors, we could lose intellectual property rights that are important to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party to license agreements that impose upon us certain obligations, and we may enter into additional licensing and funding arrangements with third parties that may impose, among other things, diligence, development, and commercialization timelines, milestone and royalty payments, and insurance. If we fail to comply with such obligations under current or future license and funding agreements, our counterparties may have the right to terminate these agreements, in which event we might be forced to cease developing, manufacturing or marketing any product that is covered by these agreements or may face other penalties under such agreements, or our counterparties may require us to grant them certain rights. Such an occurrence could materially adversely affect the value of any product candidate being developed under any such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Termination or reduction or elimination of our rights under these agreements, or restrictions on our ability to freely assign or sublicense our rights under such agreements may result in our loss of rights or our having to negotiate new or reinstated agreements with less favorable terms, which would impede, delay or prohibit the further development or commercialization of any product candidates that rely on such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Disputes may arise regarding intellectual property that is or becomes subject to a licensing agreement,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scope of rights granted under the license agreement and other matters of contract interpretation;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and the extent to which our technology and processes infringe the intellectual property rights of the licensor that are not subject to the licensing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our licensor or its licensor had the right to grant the license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third parties are entitled to compensation or equitable relief, such as an injunction, for our use of the intellectual property rights without their authorization;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involvement in the prosecution of licensed patents and our licensors’ overall patent enforcement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amounts of royalties, milestones or other payments due under the license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sublicensing of patent and other rights under collaborative development relationships;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diligence obligations under the license agreement and what activities satisfy those diligence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priority of invention of patented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resolution of any contract disagreement that may arise could narrow the scope of our rights to the relevant intellectual property or technology, could increase our financial or other obligations under the relevant agreement, or could result in loss of some or all rights under the license agreement.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Any of these outcomes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Despite our efforts, our licensors or future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ours. This could have a material adverse effect on our competitive position,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Patent terms may not protect our competitive position for an adequate amount of time.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approved for use or commercialized. As a result, our patent portfolio may not provide us with sufficient rights to exclude others from commercializing products similar or identical to ours during periods when commercial exclusivity would be valuable to us.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do not obtain a patent term extension for any product candidates we might develop, our business might be materially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the term of a patent that covers an FDA-approved drug may be eligible for a patent term extension ("PTE") of up to five years beyond the expiration date of the patent, as compensation for the patent term lost during the FDA regulatory review process. The Drug Price Competition and Patent Term Restoration Act of 1984, also known as the Hatch-Waxman Act, permits a PTE of up to five years beyond the expiration date of the patent. The length of the PTE is related to the length of time the drug is under regulatory review, and cannot extend the remaining term of a patent beyond a total of 14 years from the date of product approval. The patent term of only one patent applicable to an approved drug may be extended, and only those claims covering the approved drug, a method for using it or a method for manufacturing it may be extended. Similar provisions are available in Europe and certain other jurisdictions. While we expect to apply for PTE on patents covering our product candidates, there is no guarantee that such extensions will be granted and, even if granted, the length of such extensions. We may not be granted PTE either in the United States or in any foreign country, even where that patent is eligible for PTE, if, for example, we fail to exercise due diligence during the testing phase or regulatory review process, fail to apply within applicable deadlines, fail to apply prior to expiration of relevant patents or otherwise fail to satisfy applicable requirements. Furthermore, for licensed patents, we might not be able to control whether a petition to obtain a PTE is filed or obtained from the USPTO and/or foreign patent office(s). If we are unable to obtain any PTE, or if the term of extension is less than we request, our business, financial condition, results of operations and prospects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we are unable to protect the confidentiality of our trade secrets, our business and competitive position would be harmed.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seeking patents for some of our technology and product candidates, we seek to protect our trade secrets and other proprietary technology, in part, by entering into non-disclosure and confidentiality agreements with parties who have access to them, such as our employees, corporate collaborators, outside scientific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collaborators, contract research organizations, contract manufacturers, consultants, advisors and other third parties. Despite these efforts, any of these parties may breach the agreements and disclose our proprietary information, and we may not be able to obtain adequate remedies. Detecting the disclosure or misappropriation of a trade secret and enforcing a claim that a party illegally disclosed or misappropriated a trade secret is difficult, expensive and time-consuming, and the outcome is unpredictable. Further, we cannot guarantee that we have entered into confidentiality agreements with each party that may have or has had access to our trade secrets or proprietary technology.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Over time, our trade secrets, know-how and proprietary information may be disseminated within the industry through independent development, the publication of journal articles and the movement of personnel to and from academic and industry scientific positions. Consequently, we may be unable to prevent others from exploiting that technology, which could affect our ability to expand in domestic and international markets. If any of our trade secrets were to be disclosed to or independently developed by a competitor or other third-party, our competitive position would be materially and adversely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These security measures may be breached, and we may not have adequate remedies for any breach.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our trademarks and trade names are not adequately protected, we may not be able to build name recognition in our markets of interest and our business may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might be unable to successfully register our trademarks and trade names, and/or to establish name recognition based on our trademarks and trade names, which could result in substantial costs and diversion of resources, and could adversely impact our ability to compete effectively. In addition, our trademarks or trade names may be challenged, infringed, circumvented, declared generic or determined to be infringing on other marks. We may not be able to protect our rights to these trademarks and trade names or may be forced to stop using them. At times, competitors may adopt trademarks or trade names similar to ours, impeding our ability to build brand identity, and possibly leading to market confusion. In addition, we could be subject to trademark or trade name infringement claims brought by owners of other registered trademarks or trade names.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become involved in lawsuits to protect or enforce our patent or other intellectual property rights, which could be expensive, time-consuming and unsuccessful.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and other third parties may infringe, misappropriate or otherwise violate our patents or other intellectual property. As a result, we or our licensors may need to file infringement, misappropriation or other intellectual property claims, which can be expensive and time-consuming. Any claims we assert against others could provoke them to assert counterclaims against us alleging that we infringe, misappropriate or otherwise violate their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 patent infringement proceeding, the perceived infringers could counterclaim that the patents we or our licensors have asserted are invalid or unenforceable. In patent litigation in the United States, defendant counterclaims alleging invalidity or unenforceability are common. Grounds for a validity challenge could be an alleged failure to meet any of several statutory requirements, including lack of novelty, obviousness, or non-enablement.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we cannot be certain that there is no invalidating prior art of which the patent examiner and we or our licensing partners were unaware during prosecution.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 adverse result in any such proceeding could put our patents at risk of being invalidated or interpreted narrowly and could put our patent applications at risk of not yielding an issued patent. A court may also refuse to enjoin a third-party from using the technology at issue, for example, on the basis that patents do not cover that technology. Furthermore, if the breadth or strength of protection provided by our current or future patents and patent applications is threatened, regardless of the outcome, it could dissuade companies from collaborating with us to license, develop or commercialize current or future products or services. In addition, the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associated with litigation could have a material adverse effect on our ability to raise the funds necessary to continue our research programs and clinical trials.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Interference or derivation proceedings provoked by third parties or brought by us or declared by the USPTO might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interference or derivation proceedings might fail and, even if successful, might result in substantial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because of the substantial amount of discovery required in connection with intellectual property litigation and other proceedings, there is a risk that some of our confidential information or trade secrets could be disclosed during litigation. This could allow third parties to develop and commercialize competing technologies and products, and have a material adverse impact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subject to claims challenging the inventorship or ownership of our patents and other intellectual property.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or our licensors may be subject to claims that former employees, collaborators or other third parties have an interest in our patents, trade secrets or other intellectual property. For example, we may have inventorship or ownership disputes that arise from conflicting obligations of employees, consultants or others who are involved in developing our product candidates. Litigation may be necessary to defend against these and other claims challenging inventorship or ownership of our patents, trade secrets or other intellectual property. If we or our licensors or collaborators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 parties may allege that we are violating their intellectual property rights, the outcome of which would be uncertain and could have a material adverse effect on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Numerous U.S. and foreign issued patents and pending patent applications that are owned by third parties exist in the fields in which we are pursuing development candidates. We may not be aware of all such intellectual property rights potentially relating to our technology and product candidates, or we may incorrectly conclude that third-party intellectual property is invalid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third-party’s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may also assert that our product candidates infringe their intellectual property rights as part of a business strategy to impede our successful entry into those markets. Adversarial proceedings might also be initiated by patent holding companies or other adverse patent owners who have no relevant product or service revenue, and against whom our own patents might provide little or no deterrence or protection. 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court could hold that third-party patents are valid, enforceable and infringed by our product candidates or activities. To successfully challenge the validity of a U.S. patent in federal court, we would need to overcome a presumption of validity, which is a high burden that requires clear and convincing evidence of invalidity. There is no assurance that a court would invalidate the claims of any such U.S. patent.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Parties making claims against us may obtain injunctive or other equitable relief that could block our ability to commercialize our product candidates. In the event of a successful claim of infringement against us, we may have to pay substantial damages, including treble damages and attorneys’ fees for willful infringement,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indemnify customers, collaborators or other third parties; seek new regulatory approvals; and/or redesign our infringing products, which may not be possible or practical. In addition, if we are found to infringe, misappropriate or otherwise violate a third-party’s intellectual property rights, we may be required to obtain a license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Further, a license could require us to make substantial licensing and royalty payments.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subject to claims by third parties asserting that our employees, consultants or contractors have wrongfully used or disclosed confidential information or trade secrets of such third parties, that we have misappropriated their intellectual property, or that they own what we regard as our own intellectual property.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of our employees, consultants and contractors were previously employed or engaged by universities or other pharmaceutical or biotechnology companies. Many of them executed proprietary rights, non-disclosure and/or non-competition agreements in connection with such previous employment or engagement. Although we try to ensure that the individuals who work for us do not use the intellectual property rights, proprietary information, know-how or trade secrets of others in their work for us, we may be subject to claims that we or they have obtained, used, infringed, misappropriated, disclosed or otherwise violated the intellectual property rights of third parties. Any resulting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while it is our policy to require our employees, consultants and contractors who may be involved in the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fail in prosecuting or defending any such claims, we may be required to pay monetary damages, and we may also lose valuable intellectual property rights or personnel, which could have a material adverse effect on our competitive position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Intellectual property litigation or other legal proceedings relating to intellectual property could cost substantial resources.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involving such proceedings,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resources to conduct such litigation or proceedings adequately. Uncertainties resulting from the initiation and continuation of intellectual property litigation or other proceedings could compromise our ability to compete in the marketplace.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Intellectual property rights do not necessarily address all potential threats.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degree of future protection afforded by our intellectual property rights is uncertain because intellectual property rights have limitations and may not adequately protect our business or permit us to maintain a competitive advantage. For example: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or our license partners or current or future collaborators might not have been the first to file patent applications covering our or their inventions;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others may independently develop similar or alternative technologies or duplicate any of our technologies without infringing our intellectual property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it is possible that our pending or future patent applications will not lead to issued patents;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issued patents that we hold rights to may be held invalid or unenforceable;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any of our pending patent applications, if issued, will include claims having a scope sufficient to protect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any patents issued to us will provide a basis for an exclusive market for our commercially viable product candidates or will provide us with any competitive advantages;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our commercial activities or product candidates will not infringe upon the patents of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develop additional proprietary technologies that are patentable;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patents of others may harm our business;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choose not to seek patent protection in order to maintain certain trade secrets or know-how, and a third-party may subsequently file a patent covering such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Should any of these events occur, they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Employees, Managing Our Growth and Our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Our future success depends on our ability to retain our key personnel and to attract, retain and motivate qualified personnel.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highly dependent on the expertise of the principal members of our management, scientific, and clinical teams. Our scientific and clinical development personnel have extensive experience developing and implementing novel clinical trial designs and successfully conducting clinical trials in never-before treated patient populations. If we lose one or more of our executive officers or key employees, our ability to execute our programs and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Competition to hire from this limited pool is intense, and we may be unable to hire, train, retain or motivate these additional key personnel on acceptable terms given the competition among numerous biotechnology and pharmaceutical companies for similar personnel. We may also experience competition for the hiring of scientific and clinical personnel from universities and research institutions.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of our employees were previously employed by Alexion Pharmaceuticals, Inc. (now part of AstraZeneca), a potential competitor. To the extent we employ or engage personnel from competitors, we may be subject to allegations that such individuals have been improperly solicited or have divulged proprietary or other confidential information, or that their former employers own their research output.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we rely on consultants and advisors, including scientific and clinical advisors, to assist us in formulating our research and development and commercialization strategy. Our consultants and advisors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employees seek alternate employment, we may have to increase reliance on external support to advance our operations.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and operations would suffer in the event of system failures.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Despite the implementation of security measures, our computer systems, as well as those of our CROs and other contractors and consultants, are vulnerable to damage from computer viruses, unauthorized access, natural and manmade disasters (including hurricanes), terrorism, war, and telecommunication and electrical failures. While we do not believe that we have experienced any system failure or accident to date, if such an event were to occur and cause interruptions in our or their operations, it could result in delays and/or material disruptions of our research and development programs. For example, the loss of preclinical or clinical trial data from completed, ongoing, or planned trials, or the loss of other proprietary data, could result in delays in our regulatory approval efforts and significantly increase our costs to recover or reproduce the data. We are aware that a third party accessed the computer systems of one of our contractors and while we believe that such access did not result in loss of our proprietary data or disrupt our operations, we or our contractors may be subject to attacks in the future that could harm our business. Likewise, we currently rely on third parties for the manufacture of our product candidates and to conduct clinical trials, and similar events relating to their computer systems could also have a material adverse effect on our business. To the extent that any disruption were to result in a loss of or damage to our data or applications, or inappropriate disclosure of personal, confidential or proprietary information, we could incur liability, and the development of our product candidates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proprietary or confidential information may be lost, or we may suffer security breaches.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 federal and various state and foreign governments have enacted or proposed requirements regarding the collection, distribution, use, security and storage of personally identifiable information and other data relating to individuals. In the ordinary course of our business, we and third parties with which we have relationships will continue to collect and store sensitive data, including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our and our collaborators’ security measures, our information technology and infrastructure may be vulnerable to attacks by hackers or internal bad actors, breaches due to employee error, technical vulnerabilities, malfeasance, or other disruptions.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Several proposed and enacted federal, state and international laws and regulations obligate companies to notify individuals of security breaches involving personally identifiable information, which could result from breaches experienced by us or by third parties, including collaborators, vendors, contractors, or other organizations with which we have formed strategic relationships. Although, to our knowledge, neither we nor any such third parties have experienced any material security breach, and even though we may have contractual protections with such third parties, any such breach could compromise our or their networks and the information stored therein could be accessed, publicly disclosed, lost or stolen. 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or such third parties’ ability to conduct clinical trials, which could adversely affect our reputation and delay the clinical development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 active trading market for our common stock may not be sustained.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market for our common stock is not sustained, it may be difficult for you to sell your shares of common stock at an attractive price or at all. We cannot predict the prices at which our common stock will trade. It is possible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that in one or more future periods our results of operations may be below the expectations of public market analysts and investors, and, as a result of these and other factors, the price of our common stock may fall.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market price of our common stock may be volatile, which could result in substantial losses for investors.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of our common stock were offered in our IPO in July 2021 at a price of $104.00 per share and between the date of our IPO and July 30, 2026, the closing price per share of our common stock has ranged from as low as $2.00 to as high as $187.20. Some of the factors that may cause the market price of our common stock to fluctuate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existing or new competitive product candidates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results of preclinical studies for any product candidates that we may develop;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or discontinuation of any of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of preclinical studies, clinical trials, or regulatory approvals of product candidates of our competitors, or announcements about new research programs or product candidates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commencement or termination of collaborations for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or legal developments in the United States and other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recruitment or departure of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level of expenses related to any of our research programs or product candidates that we may develop;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results of our efforts to develop additional product candidates or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our common stock by us, our insiders or other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expiration of market stand-off or lock-up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public health crises, pandemics and epidemics;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estimates or recommendations by securities analysts, if any, that cover our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structure of healthcare payment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conditions in the pharmaceutical and biotechnology sectors;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industry, and market conditions;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other factors described in this “Risk Factors” section and elsewhere in this Quarterly Report on Form 10-Q.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securities analysts stop publishing research or reports about our business or if they publish negative evaluations of our stock, the price of our stock could decline.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trading market for our common stock is influenced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covering our business downgrade their evaluations of our stock, the price of our stock could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significant portion of our total outstanding shares may be sold into the market, which could cause the market price of our common stock to decline significantly, even if our business is doing well.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July 30, 2026, we have 5,310,499 shares of common stock outstanding. All of these shares may be resold in the public market immediately, unless held by our affiliates who are subject to volume limitations under Rule 144. As of July 30, 2026, we also have pre-funded warrants to purchase up to an aggregate of 416,673 shares of common stock outstanding. We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us subject to the terms of such pre-funded warrants, provided that such percentage may in no event exceed 19.99%.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as of June 30, 2026, certain holders of our common stock have rights, subject to conditions, to require us to file registration statements covering their shares or to include their shares in registration statements that we may file for ourselves or other stockholders. On May 9, 2023, we registered an aggregate of 1,543,950 shares of common stock held by holders with registration rights, for resale, pursuant to a registration statement on Form S-3. In addition, we have entered into the Sales Agreement with TD Cowen to offer and sell shares of our common stock having an aggregate offering price of up to $100,000,000, from time to time, through an at-the-market offering program. We also registered an aggregate of 1,737,094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Insiders have substantial influence over us, which could limit your ability to affect the outcome of key transactions, including a change of control.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directors and executive officers and their affiliates beneficially own shares representing approximately 25% of our outstanding common stock as of July 30, 2026.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could be subject to securities class action litigation.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been brought against companies following a decline in the market price of their securities. This risk is especially relevant for us because biotechnology and pharmaceutical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companies have experienced significant share price volatility in recent years. Because of the potential volatility of our stock price, we may become the target of securities litigation in the future. Securities litigation could result in substantial costs and divert management’s attention and resources from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Because we do not anticipate paying any cash dividends on our common stock in the foreseeable future, capital appreciation, if any, will be your sole source of gain.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an “emerging growth company,” and the reduced disclosure requirements applicable to emerging growth companies may make our common stock less attractive to investors.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an “emerging growth company,” as defined in the JOBS Act and we may remain an EGC until December 31, 2026.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create a classified board of directors whose members serve staggered three-year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specify that special meetings of our stockholders can be called only by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prohibit stockholder action by written consent;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vacancies on our board of directors may be filled only by a majority of directors then in office, even though less than a quorum;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our directors may be removed only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specify that no stockholder is permitted to cumulate votes at any election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expressly authorize our board of directors to modify, alter or repeal our amended and restated bylaws;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supermajority votes of the holders of our common stock to amend specified provisions of our amended and restated certificate of incorporation and amended and restated bylaws.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because we are incorporated in the State of Delaware, we are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amended and restated certificate of incorporation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provides that, subject to limited exceptions, the state or federal courts (as appropriate) within the State of Delaware are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action against us or any of our directors or officers involving a claim or defense arising pursuant to the Exchange Act or the Securities Act, or (5)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does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 In addition, while the Delaware Supreme Court ruled in March 2020 that federal forum selection provisions purporting to require claims under the Securities Act be brought in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Risks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variety of risks associated with operating internationally could materially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strategy includes potentially expanding internationally. Doing business internationally involves several risks,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multiple, conflicting, and changing laws and regulations, such as privacy regulations, tax laws, export and import restrictions, economic sanctions laws and regulations, employment laws, regulatory requirements, and other governmental approvals, permits, and licenses;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potentially relevant third-party patent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complexities and difficulties in obtaining protection and enforcing our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in staffing and managing foreign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limits in our ability to penetrate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natural disasters, political and economic instability, including wars, terrorism and political unrest, outbreak of disease, boycotts, tariffs, curtailment of trade, and other business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certain expenses, including, among others, expenses for travel, translation, and insurance;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and compliance risks that relate to maintaining accurate information and control over sales and activities that may fall within the purview of the FCPA its books and records provisions, or its anti-bribery provisions, as well as other applicable laws and regulations prohibiting bribery and corruption.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of these factors could significantly harm any future international expansion and operations and, consequently,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U.S. federal income tax reform could adversely affect our business and financial condition.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rules dealing with U.S. federal, state, and local income taxation are constantly under review through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(the "TCJA"), was enacted in 2017 and significantly reformed the Code. The TCJA, among other things, contains significant changes to corporate and individual taxation, some of which could adversely impact an investment in our common stock. On March 27, 2020, President Trump signed into law the Coronavirus Aid, Relief, and Economic Security Act (the "CARES Act"), which included certain changes in tax law intended to stimulate the U.S. economy in light of the COVID-19 pandemic, including temporary beneficial changes to the treatment of NOLs, interest deductibility limitations and payroll tax matters. There also may be technical corrections legislation or other legislative changes proposed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TCJA and CARES Act, the effects of which cannot be predicted and may be adverse to us or our stockholders. Additionally, the IRA was enacted in August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Among other things, the IRA implemented a one percent (1%) excise tax on certain repurchases (including redemptions) of stock by publicly traded domestic corporations, and a corporate alternative minimum tax of fifteen percent (15%) on book income of certain large corporations. Future changes in tax laws could have a material adverse effect on our business, cash flows, financial condition or results of operations. In particular, proposed tax legislation could result in significant changes in, and uncertainty with respect to, tax legislation, regulation and government policy directly affecting our business or indirectly affecting us because of impacts on our customers and suppliers. We urge investors to consult with their legal and tax advisers regarding the implications of potential changes in tax laws on an investment in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H.R. 1, also known as the One Big Beautiful Bill Act (the "OBBBA"), was enacted on July 4, 2025. The legislation includes several provisions that may impact the timing and magnitude of certain tax deductions. Key provisions include the permanent extension of several business tax benefits originally introduced under the TCJA.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Potential clinical trial or product liability lawsuits against us could cause us to incur substantial liabilities and, if we continue to progress the development of our product candidates, could limit commercialization of any products that we may develop.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the use of any product candidates we may develop in clinical trials and the sale of any products for which we obtain marketing approval exposes us to the risk of clinical trial and product liability claims. Clinical trial or product liability claims might be brought against us by patients, healthcare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clinical trial or product liability claims may result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 of our business reputation and significant negative media attention;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withdrawal of participants from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significant costs to defend the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distraction of management’s attention from our primary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substantial monetary awards to patients or other claimants;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commercialize a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recalls, withdrawals or labeling, marketing or promotional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decreased market demand for any product;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loss of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clinical trial and product liability insurance we currently carry, and any additional clinical trial and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product candidate, we intend to acquire insurance coverage to include the sale of commercial products; however, we may be unable to obtain product liability insurance on commercially reasonable terms or in adequate amounts. A successful clinical trial or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 candidates we develop.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Unfavorable global economic conditions and geopolitical instability could adversely affect our business, financial condition or results of operations.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results of operations could be adversely affected by general conditions in the global economy and in the global financial markets, including changes in tariffs and other trade restrictions. A severe or prolonged economic downturn, period of sustained increased inflation, tariffs and other trade restrictions or additional global financial crises, could result in a variety of risks to our business, including weakened demand for our product candidates, if approved, or our ability to raise additional capital when needed on acceptable terms, if at all. For example, the global financial crisis caused extreme volatility and disruptions in the capital and credit markets. Further, geopolitical instability outside the United States may also impact our operations or affect global markets, such as the invasion of Ukraine by Russia and the Israel-Hamas war. While we do not currently conduct clinical trials in Ukraine, Russia, or the Middle East, we cannot be certain what the overall impact of these events will be on our business or on the business of any of our third-party partners, including our contract research organizations, contract manufacturers or other partners. The impact of these events could also expand into other markets where we do business. A weak or declining economy could strain our suppliers, possibly resulting in supply disruption. Any of the foregoing could harm our business and we cannot anticipate all of the ways in which current geopolitical tensions, the economic climate and the financial market conditions could adversely impact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incurred, and will incur increased costs as a result of operating as a public company, and our management will continue to be required to devote substantial time to new compliance initiatives and corporate governance practices.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public company, we have incurred,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SOX Section 404, we are required to furnish a report by our management on our internal control over financial reporting with our Annual Report on Form 10-K with the SEC. However, while we remain an emerging growth company, we will not be required to include an attestation report on internal control over financial reporting issued by our independent registered public accounting firm. To achieve compliance with SOX Section 404,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disclosed in our previously filed current reports on Form 8-K, the Company has not issued equity securities of the Company on an unregistered basis during the quarter ended June 30, 2026.</w: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Director and Officer Trading Arrangements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quarter ended June 30, 2026, none of our directors or officers (as defined in Rule 16a-1(f) under the Exchange Act,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7"/>
        <w:gridCol w:w="252"/>
        <w:gridCol w:w="253"/>
        <w:gridCol w:w="109"/>
        <w:gridCol w:w="109"/>
        <w:gridCol w:w="109"/>
        <w:gridCol w:w="2946"/>
        <w:gridCol w:w="2871"/>
        <w:gridCol w:w="2895"/>
        <w:gridCol w:w="109"/>
        <w:gridCol w:w="109"/>
        <w:gridCol w:w="156"/>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Agreement and Plan of Merger and Reorganization among Rallybio Corporation, Farmington Merger Sub, Inc. and Avenzo Therapeutics, Inc., dated as of May 31, 2026 (incorporated by reference to Exhibit 2.1 to the Company's Current Report on Form 8-K (File No. 001-40693), filed with the SEC on June 1,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20"/>
                  <w:u w:val="single"/>
                </w:rPr>
                <w:t>Amendment to Second Amended and Restated Employment Agreement, effective as of May 31, 2026, between Rallybio Corporation and Stephen Uden (incorporated by reference to Exhibit 10.7 to the Company's Current Report on Form 8-K (File No. 001-40693), filed with the SEC on June 1,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20"/>
                  <w:u w:val="single"/>
                </w:rPr>
                <w:t>Amendment to Employment Agreement, effective as of May 31, 2026, between Rallybio Corporation and Jonathan Lieber (incorporated by reference to Exhibit 10.8 to the Company's Current Report on Form 8-K (File No. 001-40693), filed with the SEC on June 1,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20"/>
                  <w:u w:val="single"/>
                </w:rPr>
                <w:t>Amendment to Separation Agreement, effective as of May 31, 2026, between Rallybio Corporation and Steven Ryder (incorporated by reference to Exhibit 10.9 to the Company's Current Report on Form 8-K (File No. 001-40693), filed with the SEC on June 1,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630xe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630xe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630xex321.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630xex322.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_____________________</w:t>
      </w:r>
    </w:p>
    <w:p>
      <w:pPr>
        <w:pStyle w:val="TextBody"/>
        <w:bidi w:val="0"/>
        <w:spacing w:lineRule="auto" w:line="288" w:before="120" w:after="283"/>
        <w:ind w:left="0" w:right="0" w:hanging="720"/>
        <w:jc w:val="left"/>
        <w:rPr/>
      </w:pPr>
      <w:r>
        <w:rPr>
          <w:rFonts w:ascii="Times New Roman;serif" w:hAnsi="Times New Roman;serif"/>
          <w:b w:val="false"/>
          <w:color w:val="000000"/>
          <w:sz w:val="20"/>
        </w:rPr>
        <w:t>*</w:t>
      </w:r>
      <w:r>
        <w:rPr>
          <w:rFonts w:ascii="Arial;sans-serif" w:hAnsi="Arial;sans-serif"/>
          <w:b w:val="false"/>
          <w:color w:val="000000"/>
          <w:sz w:val="20"/>
        </w:rPr>
        <w:t>Filed herewith.</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The certifications furnished in Exhibits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lineRule="auto" w:line="288" w:before="0" w:after="0"/>
        <w:ind w:left="0" w:right="0" w:hanging="720"/>
        <w:jc w:val="left"/>
        <w:rPr/>
      </w:pPr>
      <w:r>
        <w:rPr>
          <w:color w:val="000000"/>
        </w:rPr>
        <w:t xml:space="preserve">† </w:t>
      </w:r>
      <w:r>
        <w:rPr>
          <w:rFonts w:ascii="Arial;sans-serif" w:hAnsi="Arial;sans-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f5ce7b5b6f34fcc82f7c1d8a8430a5a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0" w:after="0"/>
        <w:jc w:val="left"/>
        <w:rPr/>
      </w:pPr>
      <w:r>
        <w:rPr>
          <w:rFonts w:ascii="Arial;sans-serif" w:hAnsi="Arial;sans-serif"/>
          <w:b w:val="false"/>
          <w:color w:val="000000"/>
          <w:sz w:val="19"/>
        </w:rPr>
        <w:t>Pursuant to the requirements of Section 13 or 15(d) of the Securities Exchange Act of 1934, as amended, the Registrant has duly caused this Report to be signed on its behalf by the undersigned, thereunto duly authorized</w:t>
      </w:r>
      <w:r>
        <w:rPr>
          <w:rFonts w:ascii="Arial;sans-serif" w:hAnsi="Arial;sans-serif"/>
          <w:b/>
          <w:color w:val="000000"/>
          <w:sz w:val="19"/>
        </w:rPr>
        <w:t>.</w:t>
      </w:r>
    </w:p>
    <w:tbl>
      <w:tblPr>
        <w:tblW w:w="9932" w:type="dxa"/>
        <w:jc w:val="left"/>
        <w:tblInd w:w="0" w:type="dxa"/>
        <w:tblLayout w:type="fixed"/>
        <w:tblCellMar>
          <w:top w:w="28" w:type="dxa"/>
          <w:left w:w="28" w:type="dxa"/>
          <w:bottom w:w="28" w:type="dxa"/>
          <w:right w:w="28" w:type="dxa"/>
        </w:tblCellMar>
      </w:tblPr>
      <w:tblGrid>
        <w:gridCol w:w="711"/>
        <w:gridCol w:w="624"/>
        <w:gridCol w:w="630"/>
        <w:gridCol w:w="411"/>
        <w:gridCol w:w="411"/>
        <w:gridCol w:w="411"/>
        <w:gridCol w:w="1970"/>
        <w:gridCol w:w="1970"/>
        <w:gridCol w:w="279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RALLYBIO CORPORATION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Stephen Uden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Stephen Uden, M.D.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 President and Director (Principal Executive Officer)</w:t>
            </w:r>
          </w:p>
        </w:tc>
      </w:tr>
    </w:tbl>
    <w:tbl>
      <w:tblPr>
        <w:tblW w:w="9539"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2100"/>
        <w:gridCol w:w="2100"/>
        <w:gridCol w:w="297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1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Jonathan I. Lieber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Jonathan I. Lieber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 (Principal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Stephen Uden,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Rallybio Corporation;</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839"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308"/>
        <w:gridCol w:w="1308"/>
        <w:gridCol w:w="18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Uden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Stephen Uden M.D.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Jonathan I. Lieber,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Rallybio Corporation;</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068"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790"/>
        <w:gridCol w:w="790"/>
        <w:gridCol w:w="111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Jonathan I. Lieber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Jonathan I. Lieber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Rallybio Corporation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838"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308"/>
        <w:gridCol w:w="1308"/>
        <w:gridCol w:w="185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Uden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Stephen Uden, M.D.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Rallybio Corporation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5068"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790"/>
        <w:gridCol w:w="790"/>
        <w:gridCol w:w="111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Jonathan I. Lieber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Jonathan I. Lieber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39410/000119312526249790/d19106dex21.htm" TargetMode="External"/><Relationship Id="rId4" Type="http://schemas.openxmlformats.org/officeDocument/2006/relationships/hyperlink" Target="https://www.sec.gov/Archives/edgar/data/1739410/000119312526249790/d19106dex107.htm" TargetMode="External"/><Relationship Id="rId5" Type="http://schemas.openxmlformats.org/officeDocument/2006/relationships/hyperlink" Target="https://www.sec.gov/Archives/edgar/data/1739410/000119312526249790/d19106dex108.htm" TargetMode="External"/><Relationship Id="rId6" Type="http://schemas.openxmlformats.org/officeDocument/2006/relationships/hyperlink" Target="https://www.sec.gov/Archives/edgar/data/1739410/000119312526249790/d19106dex109.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59088</Words>
  <Characters>329800</Characters>
  <CharactersWithSpaces>387415</CharactersWithSpaces>
  <Paragraphs>2448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