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68751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68751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5145" cy="8255"/>
                    </a:xfrm>
                    <a:prstGeom prst="rect">
                      <a:avLst/>
                    </a:prstGeom>
                    <a:noFill/>
                  </pic:spPr>
                </pic:pic>
              </a:graphicData>
            </a:graphic>
          </wp:anchor>
        </w:drawing>
        <w:t>UNITED STATES</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9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57"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3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quarterly period ended September 30, 2026</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57"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8"/>
          <w:szCs w:val="18"/>
          <w:b w:val="1"/>
          <w:bCs w:val="1"/>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32" w:lineRule="exact"/>
        <w:rPr>
          <w:sz w:val="24"/>
          <w:szCs w:val="24"/>
          <w:color w:val="auto"/>
        </w:rPr>
      </w:pPr>
    </w:p>
    <w:p>
      <w:pPr>
        <w:ind w:left="3080"/>
        <w:spacing w:after="0"/>
        <w:rPr>
          <w:sz w:val="20"/>
          <w:szCs w:val="20"/>
          <w:color w:val="auto"/>
        </w:rPr>
      </w:pPr>
      <w:r>
        <w:rPr>
          <w:rFonts w:ascii="Arial" w:cs="Arial" w:eastAsia="Arial" w:hAnsi="Arial"/>
          <w:sz w:val="16"/>
          <w:szCs w:val="16"/>
          <w:b w:val="1"/>
          <w:bCs w:val="1"/>
          <w:color w:val="auto"/>
        </w:rPr>
        <w:t>For the transition period from ______________ to ______________</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001-40693</w:t>
      </w:r>
    </w:p>
    <w:p>
      <w:pPr>
        <w:spacing w:after="0" w:line="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3030855</wp:posOffset>
            </wp:positionH>
            <wp:positionV relativeFrom="paragraph">
              <wp:posOffset>38735</wp:posOffset>
            </wp:positionV>
            <wp:extent cx="1088390" cy="316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8390" cy="316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RALLYBIO CORPORATION</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64" w:lineRule="exact"/>
        <w:rPr>
          <w:sz w:val="24"/>
          <w:szCs w:val="24"/>
          <w:color w:val="auto"/>
        </w:rPr>
      </w:pPr>
    </w:p>
    <w:tbl>
      <w:tblPr>
        <w:tblLayout w:type="fixed"/>
        <w:tblInd w:w="1540" w:type="dxa"/>
        <w:tblCellMar>
          <w:top w:w="0" w:type="dxa"/>
          <w:left w:w="0" w:type="dxa"/>
          <w:bottom w:w="0" w:type="dxa"/>
          <w:right w:w="0" w:type="dxa"/>
        </w:tblCellMar>
      </w:tblPr>
      <w:tr>
        <w:trPr>
          <w:trHeight w:val="247"/>
        </w:trPr>
        <w:tc>
          <w:tcPr>
            <w:tcW w:w="4200" w:type="dxa"/>
            <w:vAlign w:val="bottom"/>
          </w:tcPr>
          <w:p>
            <w:pPr>
              <w:jc w:val="center"/>
              <w:ind w:right="1787"/>
              <w:spacing w:after="0"/>
              <w:rPr>
                <w:sz w:val="20"/>
                <w:szCs w:val="20"/>
                <w:color w:val="auto"/>
              </w:rPr>
            </w:pPr>
            <w:r>
              <w:rPr>
                <w:rFonts w:ascii="Arial" w:cs="Arial" w:eastAsia="Arial" w:hAnsi="Arial"/>
                <w:sz w:val="18"/>
                <w:szCs w:val="18"/>
                <w:b w:val="1"/>
                <w:bCs w:val="1"/>
                <w:color w:val="auto"/>
                <w:w w:val="98"/>
              </w:rPr>
              <w:t>Delaware</w:t>
            </w:r>
          </w:p>
        </w:tc>
        <w:tc>
          <w:tcPr>
            <w:tcW w:w="2920" w:type="dxa"/>
            <w:vAlign w:val="bottom"/>
          </w:tcPr>
          <w:p>
            <w:pPr>
              <w:jc w:val="right"/>
              <w:ind w:right="30"/>
              <w:spacing w:after="0"/>
              <w:rPr>
                <w:sz w:val="20"/>
                <w:szCs w:val="20"/>
                <w:color w:val="auto"/>
              </w:rPr>
            </w:pPr>
            <w:r>
              <w:rPr>
                <w:rFonts w:ascii="Arial" w:cs="Arial" w:eastAsia="Arial" w:hAnsi="Arial"/>
                <w:sz w:val="16"/>
                <w:szCs w:val="16"/>
                <w:b w:val="1"/>
                <w:bCs w:val="1"/>
                <w:color w:val="auto"/>
              </w:rPr>
              <w:t>85-1083789</w:t>
            </w:r>
          </w:p>
        </w:tc>
      </w:tr>
      <w:tr>
        <w:trPr>
          <w:trHeight w:val="173"/>
        </w:trPr>
        <w:tc>
          <w:tcPr>
            <w:tcW w:w="4200" w:type="dxa"/>
            <w:vAlign w:val="bottom"/>
          </w:tcPr>
          <w:p>
            <w:pPr>
              <w:jc w:val="center"/>
              <w:ind w:right="1787"/>
              <w:spacing w:after="0"/>
              <w:rPr>
                <w:sz w:val="20"/>
                <w:szCs w:val="20"/>
                <w:color w:val="auto"/>
              </w:rPr>
            </w:pPr>
            <w:r>
              <w:rPr>
                <w:rFonts w:ascii="Arial" w:cs="Arial" w:eastAsia="Arial" w:hAnsi="Arial"/>
                <w:sz w:val="13"/>
                <w:szCs w:val="13"/>
                <w:b w:val="1"/>
                <w:bCs w:val="1"/>
                <w:color w:val="auto"/>
                <w:w w:val="97"/>
              </w:rPr>
              <w:t>(State or other jurisdiction of</w:t>
            </w:r>
          </w:p>
        </w:tc>
        <w:tc>
          <w:tcPr>
            <w:tcW w:w="2920" w:type="dxa"/>
            <w:vAlign w:val="bottom"/>
          </w:tcPr>
          <w:p>
            <w:pPr>
              <w:jc w:val="center"/>
              <w:ind w:left="1770"/>
              <w:spacing w:after="0"/>
              <w:rPr>
                <w:sz w:val="20"/>
                <w:szCs w:val="20"/>
                <w:color w:val="auto"/>
              </w:rPr>
            </w:pPr>
            <w:r>
              <w:rPr>
                <w:rFonts w:ascii="Arial" w:cs="Arial" w:eastAsia="Arial" w:hAnsi="Arial"/>
                <w:sz w:val="13"/>
                <w:szCs w:val="13"/>
                <w:b w:val="1"/>
                <w:bCs w:val="1"/>
                <w:color w:val="auto"/>
                <w:w w:val="96"/>
              </w:rPr>
              <w:t>(I.R.S. Employer</w:t>
            </w:r>
          </w:p>
        </w:tc>
      </w:tr>
      <w:tr>
        <w:trPr>
          <w:trHeight w:val="172"/>
        </w:trPr>
        <w:tc>
          <w:tcPr>
            <w:tcW w:w="4200" w:type="dxa"/>
            <w:vAlign w:val="bottom"/>
          </w:tcPr>
          <w:p>
            <w:pPr>
              <w:jc w:val="center"/>
              <w:ind w:right="1807"/>
              <w:spacing w:after="0"/>
              <w:rPr>
                <w:sz w:val="20"/>
                <w:szCs w:val="20"/>
                <w:color w:val="auto"/>
              </w:rPr>
            </w:pPr>
            <w:r>
              <w:rPr>
                <w:rFonts w:ascii="Arial" w:cs="Arial" w:eastAsia="Arial" w:hAnsi="Arial"/>
                <w:sz w:val="13"/>
                <w:szCs w:val="13"/>
                <w:b w:val="1"/>
                <w:bCs w:val="1"/>
                <w:color w:val="auto"/>
                <w:w w:val="96"/>
              </w:rPr>
              <w:t>incorporation or organization)</w:t>
            </w:r>
          </w:p>
        </w:tc>
        <w:tc>
          <w:tcPr>
            <w:tcW w:w="2920" w:type="dxa"/>
            <w:vAlign w:val="bottom"/>
          </w:tcPr>
          <w:p>
            <w:pPr>
              <w:jc w:val="center"/>
              <w:ind w:left="1790"/>
              <w:spacing w:after="0"/>
              <w:rPr>
                <w:sz w:val="20"/>
                <w:szCs w:val="20"/>
                <w:color w:val="auto"/>
              </w:rPr>
            </w:pPr>
            <w:r>
              <w:rPr>
                <w:rFonts w:ascii="Arial" w:cs="Arial" w:eastAsia="Arial" w:hAnsi="Arial"/>
                <w:sz w:val="13"/>
                <w:szCs w:val="13"/>
                <w:b w:val="1"/>
                <w:bCs w:val="1"/>
                <w:color w:val="auto"/>
                <w:w w:val="96"/>
              </w:rPr>
              <w:t>Identification No.)</w:t>
            </w:r>
          </w:p>
        </w:tc>
      </w:tr>
      <w:tr>
        <w:trPr>
          <w:trHeight w:val="277"/>
        </w:trPr>
        <w:tc>
          <w:tcPr>
            <w:tcW w:w="4200" w:type="dxa"/>
            <w:vAlign w:val="bottom"/>
          </w:tcPr>
          <w:p>
            <w:pPr>
              <w:jc w:val="center"/>
              <w:ind w:right="1787"/>
              <w:spacing w:after="0"/>
              <w:rPr>
                <w:sz w:val="20"/>
                <w:szCs w:val="20"/>
                <w:color w:val="auto"/>
              </w:rPr>
            </w:pPr>
            <w:r>
              <w:rPr>
                <w:rFonts w:ascii="Arial" w:cs="Arial" w:eastAsia="Arial" w:hAnsi="Arial"/>
                <w:sz w:val="16"/>
                <w:szCs w:val="16"/>
                <w:b w:val="1"/>
                <w:bCs w:val="1"/>
                <w:color w:val="auto"/>
              </w:rPr>
              <w:t>PO Box No. 325</w:t>
            </w:r>
          </w:p>
        </w:tc>
        <w:tc>
          <w:tcPr>
            <w:tcW w:w="2920" w:type="dxa"/>
            <w:vAlign w:val="bottom"/>
          </w:tcPr>
          <w:p>
            <w:pPr>
              <w:spacing w:after="0"/>
              <w:rPr>
                <w:sz w:val="24"/>
                <w:szCs w:val="24"/>
                <w:color w:val="auto"/>
              </w:rPr>
            </w:pPr>
          </w:p>
        </w:tc>
      </w:tr>
      <w:tr>
        <w:trPr>
          <w:trHeight w:val="236"/>
        </w:trPr>
        <w:tc>
          <w:tcPr>
            <w:tcW w:w="4200" w:type="dxa"/>
            <w:vAlign w:val="bottom"/>
          </w:tcPr>
          <w:p>
            <w:pPr>
              <w:jc w:val="center"/>
              <w:ind w:right="1787"/>
              <w:spacing w:after="0"/>
              <w:rPr>
                <w:sz w:val="20"/>
                <w:szCs w:val="20"/>
                <w:color w:val="auto"/>
              </w:rPr>
            </w:pPr>
            <w:r>
              <w:rPr>
                <w:rFonts w:ascii="Arial" w:cs="Arial" w:eastAsia="Arial" w:hAnsi="Arial"/>
                <w:sz w:val="16"/>
                <w:szCs w:val="16"/>
                <w:b w:val="1"/>
                <w:bCs w:val="1"/>
                <w:color w:val="auto"/>
              </w:rPr>
              <w:t>East Berlin, CT</w:t>
            </w:r>
          </w:p>
        </w:tc>
        <w:tc>
          <w:tcPr>
            <w:tcW w:w="2920" w:type="dxa"/>
            <w:vAlign w:val="bottom"/>
          </w:tcPr>
          <w:p>
            <w:pPr>
              <w:jc w:val="right"/>
              <w:ind w:right="250"/>
              <w:spacing w:after="0"/>
              <w:rPr>
                <w:sz w:val="20"/>
                <w:szCs w:val="20"/>
                <w:color w:val="auto"/>
              </w:rPr>
            </w:pPr>
            <w:r>
              <w:rPr>
                <w:rFonts w:ascii="Arial" w:cs="Arial" w:eastAsia="Arial" w:hAnsi="Arial"/>
                <w:sz w:val="16"/>
                <w:szCs w:val="16"/>
                <w:b w:val="1"/>
                <w:bCs w:val="1"/>
                <w:color w:val="auto"/>
              </w:rPr>
              <w:t>06023</w:t>
            </w:r>
          </w:p>
        </w:tc>
      </w:tr>
      <w:tr>
        <w:trPr>
          <w:trHeight w:val="215"/>
        </w:trPr>
        <w:tc>
          <w:tcPr>
            <w:tcW w:w="4200" w:type="dxa"/>
            <w:vAlign w:val="bottom"/>
          </w:tcPr>
          <w:p>
            <w:pPr>
              <w:jc w:val="center"/>
              <w:ind w:right="1787"/>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2920" w:type="dxa"/>
            <w:vAlign w:val="bottom"/>
          </w:tcPr>
          <w:p>
            <w:pPr>
              <w:jc w:val="center"/>
              <w:ind w:left="1790"/>
              <w:spacing w:after="0"/>
              <w:rPr>
                <w:sz w:val="20"/>
                <w:szCs w:val="20"/>
                <w:color w:val="auto"/>
              </w:rPr>
            </w:pPr>
            <w:r>
              <w:rPr>
                <w:rFonts w:ascii="Arial" w:cs="Arial" w:eastAsia="Arial" w:hAnsi="Arial"/>
                <w:sz w:val="13"/>
                <w:szCs w:val="13"/>
                <w:b w:val="1"/>
                <w:bCs w:val="1"/>
                <w:color w:val="auto"/>
                <w:w w:val="96"/>
              </w:rPr>
              <w:t>(Zip Code)</w:t>
            </w:r>
          </w:p>
        </w:tc>
      </w:tr>
    </w:tbl>
    <w:p>
      <w:pPr>
        <w:spacing w:after="0" w:line="10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(203) 859-3820</w:t>
      </w:r>
    </w:p>
    <w:p>
      <w:pPr>
        <w:spacing w:after="0" w:line="2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7" w:lineRule="exact"/>
        <w:rPr>
          <w:sz w:val="24"/>
          <w:szCs w:val="24"/>
          <w:color w:val="auto"/>
        </w:rPr>
      </w:pPr>
    </w:p>
    <w:p>
      <w:pPr>
        <w:ind w:left="50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4360" w:type="dxa"/>
            <w:vAlign w:val="bottom"/>
          </w:tcPr>
          <w:p>
            <w:pPr>
              <w:spacing w:after="0"/>
              <w:rPr>
                <w:sz w:val="14"/>
                <w:szCs w:val="14"/>
                <w:color w:val="auto"/>
              </w:rPr>
            </w:pPr>
          </w:p>
        </w:tc>
      </w:tr>
      <w:tr>
        <w:trPr>
          <w:trHeight w:val="211"/>
        </w:trPr>
        <w:tc>
          <w:tcPr>
            <w:tcW w:w="432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80" w:type="dxa"/>
            <w:vAlign w:val="bottom"/>
          </w:tcPr>
          <w:p>
            <w:pPr>
              <w:spacing w:after="0"/>
              <w:rPr>
                <w:sz w:val="18"/>
                <w:szCs w:val="18"/>
                <w:color w:val="auto"/>
              </w:rPr>
            </w:pPr>
          </w:p>
        </w:tc>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16"/>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Common Stock, par value $0.0001 per share</w:t>
            </w:r>
          </w:p>
        </w:tc>
        <w:tc>
          <w:tcPr>
            <w:tcW w:w="2060" w:type="dxa"/>
            <w:vAlign w:val="bottom"/>
            <w:gridSpan w:val="2"/>
          </w:tcPr>
          <w:p>
            <w:pPr>
              <w:jc w:val="center"/>
              <w:ind w:right="80"/>
              <w:spacing w:after="0"/>
              <w:rPr>
                <w:sz w:val="20"/>
                <w:szCs w:val="20"/>
                <w:color w:val="auto"/>
              </w:rPr>
            </w:pPr>
            <w:r>
              <w:rPr>
                <w:rFonts w:ascii="Arial" w:cs="Arial" w:eastAsia="Arial" w:hAnsi="Arial"/>
                <w:sz w:val="14"/>
                <w:szCs w:val="14"/>
                <w:color w:val="auto"/>
              </w:rPr>
              <w:t>RLYB</w:t>
            </w:r>
          </w:p>
        </w:tc>
        <w:tc>
          <w:tcPr>
            <w:tcW w:w="4360" w:type="dxa"/>
            <w:vAlign w:val="bottom"/>
          </w:tcPr>
          <w:p>
            <w:pPr>
              <w:jc w:val="center"/>
              <w:spacing w:after="0"/>
              <w:rPr>
                <w:sz w:val="20"/>
                <w:szCs w:val="20"/>
                <w:color w:val="auto"/>
              </w:rPr>
            </w:pPr>
            <w:r>
              <w:rPr>
                <w:rFonts w:ascii="Arial" w:cs="Arial" w:eastAsia="Arial" w:hAnsi="Arial"/>
                <w:sz w:val="14"/>
                <w:szCs w:val="14"/>
                <w:color w:val="auto"/>
              </w:rPr>
              <w:t>The NASDAQ Capital Market</w:t>
            </w:r>
          </w:p>
        </w:tc>
      </w:tr>
    </w:tbl>
    <w:p>
      <w:pPr>
        <w:spacing w:after="0" w:line="181" w:lineRule="exact"/>
        <w:rPr>
          <w:sz w:val="24"/>
          <w:szCs w:val="24"/>
          <w:color w:val="auto"/>
        </w:rPr>
      </w:pPr>
    </w:p>
    <w:p>
      <w:pPr>
        <w:ind w:firstLine="486"/>
        <w:spacing w:after="0" w:line="291"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55" w:lineRule="exact"/>
        <w:rPr>
          <w:sz w:val="24"/>
          <w:szCs w:val="24"/>
          <w:color w:val="auto"/>
        </w:rPr>
      </w:pPr>
    </w:p>
    <w:p>
      <w:pPr>
        <w:ind w:right="560" w:firstLine="486"/>
        <w:spacing w:after="0" w:line="271" w:lineRule="auto"/>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82" w:lineRule="exact"/>
        <w:rPr>
          <w:sz w:val="24"/>
          <w:szCs w:val="24"/>
          <w:color w:val="auto"/>
        </w:rPr>
      </w:pPr>
    </w:p>
    <w:p>
      <w:pPr>
        <w:ind w:right="480" w:firstLine="486"/>
        <w:spacing w:after="0" w:line="31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81"/>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00" w:type="dxa"/>
            <w:vAlign w:val="bottom"/>
          </w:tcPr>
          <w:p>
            <w:pPr>
              <w:ind w:left="400"/>
              <w:spacing w:after="0"/>
              <w:rPr>
                <w:sz w:val="20"/>
                <w:szCs w:val="20"/>
                <w:color w:val="auto"/>
              </w:rPr>
            </w:pPr>
            <w:r>
              <w:rPr>
                <w:rFonts w:ascii="Wingdings" w:cs="Wingdings" w:eastAsia="Wingdings" w:hAnsi="Wingdings"/>
                <w:sz w:val="14"/>
                <w:szCs w:val="14"/>
                <w:b w:val="1"/>
                <w:bCs w:val="1"/>
                <w:color w:val="auto"/>
              </w:rPr>
              <w:t>o</w:t>
            </w:r>
          </w:p>
        </w:tc>
        <w:tc>
          <w:tcPr>
            <w:tcW w:w="4740" w:type="dxa"/>
            <w:vAlign w:val="bottom"/>
          </w:tcPr>
          <w:p>
            <w:pPr>
              <w:ind w:left="2540"/>
              <w:spacing w:after="0"/>
              <w:rPr>
                <w:sz w:val="20"/>
                <w:szCs w:val="20"/>
                <w:color w:val="auto"/>
              </w:rPr>
            </w:pPr>
            <w:r>
              <w:rPr>
                <w:rFonts w:ascii="Arial" w:cs="Arial" w:eastAsia="Arial" w:hAnsi="Arial"/>
                <w:sz w:val="14"/>
                <w:szCs w:val="14"/>
                <w:color w:val="auto"/>
              </w:rPr>
              <w:t>Accelerated filer</w:t>
            </w:r>
          </w:p>
        </w:tc>
        <w:tc>
          <w:tcPr>
            <w:tcW w:w="700" w:type="dxa"/>
            <w:vAlign w:val="bottom"/>
          </w:tcPr>
          <w:p>
            <w:pPr>
              <w:ind w:left="560"/>
              <w:spacing w:after="0"/>
              <w:rPr>
                <w:sz w:val="20"/>
                <w:szCs w:val="20"/>
                <w:color w:val="auto"/>
              </w:rPr>
            </w:pPr>
            <w:r>
              <w:rPr>
                <w:rFonts w:ascii="Wingdings" w:cs="Wingdings" w:eastAsia="Wingdings" w:hAnsi="Wingdings"/>
                <w:sz w:val="14"/>
                <w:szCs w:val="14"/>
                <w:b w:val="1"/>
                <w:bCs w:val="1"/>
                <w:color w:val="auto"/>
                <w:w w:val="95"/>
              </w:rPr>
              <w:t>o</w:t>
            </w:r>
          </w:p>
        </w:tc>
      </w:tr>
      <w:tr>
        <w:trPr>
          <w:trHeight w:val="230"/>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100" w:type="dxa"/>
            <w:vAlign w:val="bottom"/>
          </w:tcPr>
          <w:p>
            <w:pPr>
              <w:ind w:left="400"/>
              <w:spacing w:after="0"/>
              <w:rPr>
                <w:sz w:val="20"/>
                <w:szCs w:val="20"/>
                <w:color w:val="auto"/>
              </w:rPr>
            </w:pPr>
            <w:r>
              <w:rPr>
                <w:rFonts w:ascii="Wingdings" w:cs="Wingdings" w:eastAsia="Wingdings" w:hAnsi="Wingdings"/>
                <w:sz w:val="14"/>
                <w:szCs w:val="14"/>
                <w:b w:val="1"/>
                <w:bCs w:val="1"/>
                <w:color w:val="auto"/>
              </w:rPr>
              <w:t>x</w:t>
            </w:r>
          </w:p>
        </w:tc>
        <w:tc>
          <w:tcPr>
            <w:tcW w:w="4740" w:type="dxa"/>
            <w:vAlign w:val="bottom"/>
          </w:tcPr>
          <w:p>
            <w:pPr>
              <w:ind w:left="2540"/>
              <w:spacing w:after="0"/>
              <w:rPr>
                <w:sz w:val="20"/>
                <w:szCs w:val="20"/>
                <w:color w:val="auto"/>
              </w:rPr>
            </w:pPr>
            <w:r>
              <w:rPr>
                <w:rFonts w:ascii="Arial" w:cs="Arial" w:eastAsia="Arial" w:hAnsi="Arial"/>
                <w:sz w:val="14"/>
                <w:szCs w:val="14"/>
                <w:color w:val="auto"/>
              </w:rPr>
              <w:t>Smaller reporting company</w:t>
            </w:r>
          </w:p>
        </w:tc>
        <w:tc>
          <w:tcPr>
            <w:tcW w:w="700" w:type="dxa"/>
            <w:vAlign w:val="bottom"/>
          </w:tcPr>
          <w:p>
            <w:pPr>
              <w:ind w:left="560"/>
              <w:spacing w:after="0"/>
              <w:rPr>
                <w:sz w:val="20"/>
                <w:szCs w:val="20"/>
                <w:color w:val="auto"/>
              </w:rPr>
            </w:pPr>
            <w:r>
              <w:rPr>
                <w:rFonts w:ascii="Wingdings" w:cs="Wingdings" w:eastAsia="Wingdings" w:hAnsi="Wingdings"/>
                <w:sz w:val="14"/>
                <w:szCs w:val="14"/>
                <w:b w:val="1"/>
                <w:bCs w:val="1"/>
                <w:color w:val="auto"/>
                <w:w w:val="80"/>
              </w:rPr>
              <w:t>x</w:t>
            </w:r>
          </w:p>
        </w:tc>
      </w:tr>
      <w:tr>
        <w:trPr>
          <w:trHeight w:val="229"/>
        </w:trPr>
        <w:tc>
          <w:tcPr>
            <w:tcW w:w="17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740" w:type="dxa"/>
            <w:vAlign w:val="bottom"/>
          </w:tcPr>
          <w:p>
            <w:pPr>
              <w:ind w:left="2540"/>
              <w:spacing w:after="0"/>
              <w:rPr>
                <w:sz w:val="20"/>
                <w:szCs w:val="20"/>
                <w:color w:val="auto"/>
              </w:rPr>
            </w:pPr>
            <w:r>
              <w:rPr>
                <w:rFonts w:ascii="Arial" w:cs="Arial" w:eastAsia="Arial" w:hAnsi="Arial"/>
                <w:sz w:val="14"/>
                <w:szCs w:val="14"/>
                <w:color w:val="auto"/>
              </w:rPr>
              <w:t>Emerging growth company</w:t>
            </w:r>
          </w:p>
        </w:tc>
        <w:tc>
          <w:tcPr>
            <w:tcW w:w="700" w:type="dxa"/>
            <w:vAlign w:val="bottom"/>
          </w:tcPr>
          <w:p>
            <w:pPr>
              <w:ind w:left="560"/>
              <w:spacing w:after="0"/>
              <w:rPr>
                <w:sz w:val="20"/>
                <w:szCs w:val="20"/>
                <w:color w:val="auto"/>
              </w:rPr>
            </w:pPr>
            <w:r>
              <w:rPr>
                <w:rFonts w:ascii="Wingdings" w:cs="Wingdings" w:eastAsia="Wingdings" w:hAnsi="Wingdings"/>
                <w:sz w:val="14"/>
                <w:szCs w:val="14"/>
                <w:b w:val="1"/>
                <w:bCs w:val="1"/>
                <w:color w:val="auto"/>
                <w:w w:val="80"/>
              </w:rPr>
              <w:t>x</w:t>
            </w:r>
          </w:p>
        </w:tc>
      </w:tr>
    </w:tbl>
    <w:p>
      <w:pPr>
        <w:spacing w:after="0" w:line="210" w:lineRule="exact"/>
        <w:rPr>
          <w:sz w:val="24"/>
          <w:szCs w:val="24"/>
          <w:color w:val="auto"/>
        </w:rPr>
      </w:pPr>
    </w:p>
    <w:p>
      <w:pPr>
        <w:ind w:right="200" w:firstLine="486"/>
        <w:spacing w:after="0" w:line="271"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82" w:lineRule="exact"/>
        <w:rPr>
          <w:sz w:val="24"/>
          <w:szCs w:val="24"/>
          <w:color w:val="auto"/>
        </w:rPr>
      </w:pPr>
    </w:p>
    <w:p>
      <w:pPr>
        <w:ind w:left="500"/>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p>
    <w:p>
      <w:pPr>
        <w:spacing w:after="0" w:line="109" w:lineRule="exact"/>
        <w:rPr>
          <w:sz w:val="24"/>
          <w:szCs w:val="24"/>
          <w:color w:val="auto"/>
        </w:rPr>
      </w:pPr>
    </w:p>
    <w:p>
      <w:pPr>
        <w:ind w:right="420" w:firstLine="486"/>
        <w:spacing w:after="0" w:line="271" w:lineRule="auto"/>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68" w:lineRule="exact"/>
        <w:rPr>
          <w:sz w:val="24"/>
          <w:szCs w:val="24"/>
          <w:color w:val="auto"/>
        </w:rPr>
      </w:pPr>
    </w:p>
    <w:p>
      <w:pPr>
        <w:ind w:left="500"/>
        <w:spacing w:after="0"/>
        <w:rPr>
          <w:sz w:val="20"/>
          <w:szCs w:val="20"/>
          <w:color w:val="auto"/>
        </w:rPr>
      </w:pPr>
      <w:r>
        <w:rPr>
          <w:rFonts w:ascii="Arial" w:cs="Arial" w:eastAsia="Arial" w:hAnsi="Arial"/>
          <w:sz w:val="14"/>
          <w:szCs w:val="14"/>
          <w:color w:val="auto"/>
        </w:rPr>
        <w:t>As of October 20, 2026, the registrant had 5,383,937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6875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6875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ectPr>
          <w:pgSz w:w="11900" w:h="16838" w:orient="portrait"/>
          <w:cols w:equalWidth="0" w:num="1">
            <w:col w:w="11200"/>
          </w:cols>
          <w:pgMar w:left="320" w:top="1189" w:right="3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Page</w:t>
            </w:r>
          </w:p>
        </w:tc>
      </w:tr>
      <w:tr>
        <w:trPr>
          <w:trHeight w:val="203"/>
        </w:trPr>
        <w:tc>
          <w:tcPr>
            <w:tcW w:w="20" w:type="dxa"/>
            <w:vAlign w:val="bottom"/>
          </w:tcPr>
          <w:p>
            <w:pPr>
              <w:spacing w:after="0"/>
              <w:rPr>
                <w:sz w:val="17"/>
                <w:szCs w:val="17"/>
                <w:color w:val="auto"/>
              </w:rPr>
            </w:pPr>
          </w:p>
        </w:tc>
        <w:tc>
          <w:tcPr>
            <w:tcW w:w="13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PART I.</w:t>
            </w:r>
          </w:p>
        </w:tc>
        <w:tc>
          <w:tcPr>
            <w:tcW w:w="2280" w:type="dxa"/>
            <w:vAlign w:val="bottom"/>
            <w:tcBorders>
              <w:bottom w:val="single" w:sz="8" w:color="0000FF"/>
            </w:tcBorders>
            <w:gridSpan w:val="8"/>
          </w:tcPr>
          <w:p>
            <w:pPr>
              <w:spacing w:after="0" w:line="202" w:lineRule="exact"/>
              <w:rPr>
                <w:sz w:val="20"/>
                <w:szCs w:val="20"/>
                <w:color w:val="auto"/>
              </w:rPr>
            </w:pPr>
            <w:r>
              <w:rPr>
                <w:rFonts w:ascii="Arial" w:cs="Arial" w:eastAsia="Arial" w:hAnsi="Arial"/>
                <w:sz w:val="18"/>
                <w:szCs w:val="18"/>
                <w:b w:val="1"/>
                <w:bCs w:val="1"/>
                <w:color w:val="0000FF"/>
                <w:w w:val="98"/>
              </w:rPr>
              <w:t>FINANCIAL INFORMATION</w:t>
            </w:r>
          </w:p>
        </w:tc>
        <w:tc>
          <w:tcPr>
            <w:tcW w:w="6560" w:type="dxa"/>
            <w:vAlign w:val="bottom"/>
            <w:gridSpan w:val="9"/>
          </w:tcPr>
          <w:p>
            <w:pPr>
              <w:spacing w:after="0"/>
              <w:rPr>
                <w:sz w:val="17"/>
                <w:szCs w:val="17"/>
                <w:color w:val="auto"/>
              </w:rPr>
            </w:pPr>
          </w:p>
        </w:tc>
        <w:tc>
          <w:tcPr>
            <w:tcW w:w="102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6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8"/>
              </w:rPr>
              <w:t>Financial Statements</w:t>
            </w:r>
          </w:p>
        </w:tc>
        <w:tc>
          <w:tcPr>
            <w:tcW w:w="7160" w:type="dxa"/>
            <w:vAlign w:val="bottom"/>
            <w:gridSpan w:val="12"/>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3"/>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Unaudited Condensed Consolidated Balance Sheets</w:t>
            </w:r>
          </w:p>
        </w:tc>
        <w:tc>
          <w:tcPr>
            <w:tcW w:w="4640" w:type="dxa"/>
            <w:vAlign w:val="bottom"/>
            <w:gridSpan w:val="8"/>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40" w:type="dxa"/>
            <w:vAlign w:val="bottom"/>
            <w:gridSpan w:val="17"/>
          </w:tcPr>
          <w:p>
            <w:pPr>
              <w:spacing w:after="0"/>
              <w:rPr>
                <w:sz w:val="20"/>
                <w:szCs w:val="20"/>
                <w:color w:val="auto"/>
              </w:rPr>
            </w:pPr>
            <w:r>
              <w:rPr>
                <w:rFonts w:ascii="Arial" w:cs="Arial" w:eastAsia="Arial" w:hAnsi="Arial"/>
                <w:sz w:val="18"/>
                <w:szCs w:val="18"/>
                <w:color w:val="0000FF"/>
              </w:rPr>
              <w:t>Unaudited Condensed Consolidated Statements of Operations and Comprehensive (Loss)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3"/>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2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Unaudited Condensed Consolidated Statements of Changes in Stockholders' Equity</w:t>
            </w:r>
          </w:p>
        </w:tc>
        <w:tc>
          <w:tcPr>
            <w:tcW w:w="10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4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9"/>
              </w:rPr>
              <w:t>Unaudited Condensed Consolidated Statements of Cash Flows</w:t>
            </w:r>
          </w:p>
        </w:tc>
        <w:tc>
          <w:tcPr>
            <w:tcW w:w="1640" w:type="dxa"/>
            <w:vAlign w:val="bottom"/>
            <w:tcBorders>
              <w:top w:val="single" w:sz="8" w:color="0000FF"/>
            </w:tcBorders>
            <w:gridSpan w:val="2"/>
          </w:tcPr>
          <w:p>
            <w:pPr>
              <w:spacing w:after="0"/>
              <w:rPr>
                <w:sz w:val="22"/>
                <w:szCs w:val="22"/>
                <w:color w:val="auto"/>
              </w:rPr>
            </w:pPr>
          </w:p>
        </w:tc>
        <w:tc>
          <w:tcPr>
            <w:tcW w:w="2160" w:type="dxa"/>
            <w:vAlign w:val="bottom"/>
            <w:gridSpan w:val="3"/>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63"/>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3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Notes to Unaudited Condensed Consolidated Financial Statements</w:t>
            </w:r>
          </w:p>
        </w:tc>
        <w:tc>
          <w:tcPr>
            <w:tcW w:w="3500" w:type="dxa"/>
            <w:vAlign w:val="bottom"/>
            <w:gridSpan w:val="4"/>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3"/>
        </w:trPr>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760" w:type="dxa"/>
            <w:vAlign w:val="bottom"/>
            <w:gridSpan w:val="2"/>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3"/>
        </w:trPr>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84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64"/>
        </w:trPr>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0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Controls and Procedures</w:t>
            </w:r>
          </w:p>
        </w:tc>
        <w:tc>
          <w:tcPr>
            <w:tcW w:w="4140" w:type="dxa"/>
            <w:vAlign w:val="bottom"/>
            <w:gridSpan w:val="7"/>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533"/>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b w:val="1"/>
                <w:bCs w:val="1"/>
                <w:color w:val="0000FF"/>
                <w:w w:val="98"/>
              </w:rPr>
              <w:t>OTHER INFORMATION</w:t>
            </w:r>
          </w:p>
        </w:tc>
        <w:tc>
          <w:tcPr>
            <w:tcW w:w="40" w:type="dxa"/>
            <w:vAlign w:val="bottom"/>
            <w:tcBorders>
              <w:top w:val="single" w:sz="8" w:color="0000FF"/>
            </w:tcBorders>
          </w:tcPr>
          <w:p>
            <w:pPr>
              <w:spacing w:after="0"/>
              <w:rPr>
                <w:sz w:val="24"/>
                <w:szCs w:val="24"/>
                <w:color w:val="auto"/>
              </w:rPr>
            </w:pPr>
          </w:p>
        </w:tc>
        <w:tc>
          <w:tcPr>
            <w:tcW w:w="6860" w:type="dxa"/>
            <w:vAlign w:val="bottom"/>
            <w:gridSpan w:val="10"/>
          </w:tcPr>
          <w:p>
            <w:pPr>
              <w:spacing w:after="0"/>
              <w:rPr>
                <w:sz w:val="24"/>
                <w:szCs w:val="24"/>
                <w:color w:val="auto"/>
              </w:rPr>
            </w:pPr>
          </w:p>
        </w:tc>
        <w:tc>
          <w:tcPr>
            <w:tcW w:w="10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4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64"/>
        </w:trPr>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tcBorders>
              <w:top w:val="single" w:sz="8" w:color="0000FF"/>
            </w:tcBorders>
            <w:gridSpan w:val="2"/>
          </w:tcPr>
          <w:p>
            <w:pPr>
              <w:spacing w:after="0"/>
              <w:rPr>
                <w:sz w:val="22"/>
                <w:szCs w:val="22"/>
                <w:color w:val="auto"/>
              </w:rPr>
            </w:pPr>
          </w:p>
        </w:tc>
        <w:tc>
          <w:tcPr>
            <w:tcW w:w="7360" w:type="dxa"/>
            <w:vAlign w:val="bottom"/>
            <w:gridSpan w:val="13"/>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63"/>
        </w:trPr>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4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64"/>
        </w:trPr>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8"/>
              </w:rPr>
              <w:t>Other Information</w:t>
            </w:r>
          </w:p>
        </w:tc>
        <w:tc>
          <w:tcPr>
            <w:tcW w:w="3440" w:type="dxa"/>
            <w:vAlign w:val="bottom"/>
            <w:tcBorders>
              <w:top w:val="single" w:sz="8" w:color="0000FF"/>
            </w:tcBorders>
            <w:gridSpan w:val="8"/>
          </w:tcPr>
          <w:p>
            <w:pPr>
              <w:spacing w:after="0"/>
              <w:rPr>
                <w:sz w:val="22"/>
                <w:szCs w:val="22"/>
                <w:color w:val="auto"/>
              </w:rPr>
            </w:pPr>
          </w:p>
        </w:tc>
        <w:tc>
          <w:tcPr>
            <w:tcW w:w="4000" w:type="dxa"/>
            <w:vAlign w:val="bottom"/>
            <w:gridSpan w:val="6"/>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64"/>
        </w:trPr>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840" w:type="dxa"/>
            <w:vAlign w:val="bottom"/>
            <w:gridSpan w:val="17"/>
          </w:tcPr>
          <w:p>
            <w:pPr>
              <w:spacing w:after="0"/>
              <w:rPr>
                <w:sz w:val="20"/>
                <w:szCs w:val="20"/>
                <w:color w:val="auto"/>
              </w:rPr>
            </w:pPr>
            <w:r>
              <w:rPr>
                <w:rFonts w:ascii="Arial" w:cs="Arial" w:eastAsia="Arial" w:hAnsi="Arial"/>
                <w:sz w:val="18"/>
                <w:szCs w:val="18"/>
                <w:color w:val="0000FF"/>
              </w:rPr>
              <w:t>Exhibits</w:t>
            </w:r>
          </w:p>
        </w:tc>
        <w:tc>
          <w:tcPr>
            <w:tcW w:w="10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64"/>
        </w:trPr>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20" w:type="dxa"/>
            <w:vAlign w:val="bottom"/>
            <w:tcBorders>
              <w:top w:val="single" w:sz="8" w:color="0000FF"/>
            </w:tcBorders>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952"/>
        </w:trPr>
        <w:tc>
          <w:tcPr>
            <w:tcW w:w="20" w:type="dxa"/>
            <w:vAlign w:val="bottom"/>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4700" w:type="dxa"/>
            <w:vAlign w:val="bottom"/>
            <w:gridSpan w:val="10"/>
          </w:tcPr>
          <w:p>
            <w:pPr>
              <w:ind w:left="42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This Quarterly Report on Form 10-Q contains forward-looking statements that are based on management’s beliefs and assumptions and on information currently available to management. All statements other than statements of historical facts contained in this Quarterly Report on Form 10-Q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w:t>
      </w:r>
    </w:p>
    <w:p>
      <w:pPr>
        <w:spacing w:after="0" w:line="212" w:lineRule="exact"/>
        <w:rPr>
          <w:sz w:val="20"/>
          <w:szCs w:val="20"/>
          <w:color w:val="auto"/>
        </w:rPr>
      </w:pPr>
    </w:p>
    <w:p>
      <w:pPr>
        <w:ind w:left="660" w:right="6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proposed Merger (as defined below) with Avenzo Therapeutics, Inc, a Delaware corporation ("Avenzo") and any potential benefits of the merger;</w:t>
      </w:r>
    </w:p>
    <w:p>
      <w:pPr>
        <w:spacing w:after="0" w:line="179"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results, and cost of our research and development programs, and our current and future preclinical and clinical studies, including statements regarding timing of initiation and completion of our clinical trials for RLYB116, and related preparatory work, and the period during which the results of the trials will become available;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the clinical development of our product candidates, including RLYB116;</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our product candidates to treat certain target diseases;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initiate, recruit and enroll patients in and conduct our clinical trials at the pace that we project;</w:t>
      </w:r>
    </w:p>
    <w:p>
      <w:pPr>
        <w:spacing w:after="0" w:line="252"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with companies currently marketing or engaged in the development of treatments for diseases that our product candidates are designed to target, including diseases of complement dysregulation, diseases of iron overload, immune platelet transfusion refractoriness ("PTR") and refractory antiphospholipid syndrome ("APS");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conduct our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enhancements to the manufacturing process for RLYB116;</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manufacture drug substance and drug product for use in our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advance through clinical development any additional product candidates;</w:t>
      </w:r>
    </w:p>
    <w:p>
      <w:pPr>
        <w:spacing w:after="0" w:line="252" w:lineRule="exact"/>
        <w:rPr>
          <w:rFonts w:ascii="Arial" w:cs="Arial" w:eastAsia="Arial" w:hAnsi="Arial"/>
          <w:sz w:val="18"/>
          <w:szCs w:val="18"/>
          <w:color w:val="auto"/>
        </w:rPr>
      </w:pPr>
    </w:p>
    <w:p>
      <w:pPr>
        <w:ind w:left="660" w:right="4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designations allowing for priority review of our product candidates, and our ability to obtain and maintain regulatory approval of our product candidates, and any related restrictions, limitations or warnings in the label of any of our product candidates, if approved;</w:t>
      </w:r>
    </w:p>
    <w:p>
      <w:pPr>
        <w:spacing w:after="0" w:line="197"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RLYB116 and any of our current product candidates or other product candidates we may identify and pursue, and our ability to serve those markets;</w:t>
      </w:r>
    </w:p>
    <w:p>
      <w:pPr>
        <w:spacing w:after="0" w:line="179" w:lineRule="exact"/>
        <w:rPr>
          <w:rFonts w:ascii="Arial" w:cs="Arial" w:eastAsia="Arial" w:hAnsi="Arial"/>
          <w:sz w:val="18"/>
          <w:szCs w:val="18"/>
          <w:color w:val="auto"/>
        </w:rPr>
      </w:pPr>
    </w:p>
    <w:p>
      <w:pPr>
        <w:ind w:left="660" w:right="4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current product candidates and any other product candidates we may identify and pursue, if approved, including our ability to successfully build commercial infrastructure or enter into collaborations with third parties to market our current product candidates and any other product candidates we may identify and pursue;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recruit key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adequate intellectual property rights;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government and third-party payor coverage and reimbursement;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of our expenses, ongoing losses, capital requirements and our needs for or ability to obtain additional financing;</w:t>
      </w:r>
    </w:p>
    <w:p>
      <w:pPr>
        <w:spacing w:after="0" w:line="252"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eligibility to receive milestone payments and royalties under our Membership Interest Purchase Agreement, dated July 8, 2025, with Recursion Pharmaceuticals, Inc. ("Recursion");</w:t>
      </w:r>
    </w:p>
    <w:p>
      <w:pPr>
        <w:spacing w:after="0" w:line="179" w:lineRule="exact"/>
        <w:rPr>
          <w:rFonts w:ascii="Arial" w:cs="Arial" w:eastAsia="Arial" w:hAnsi="Arial"/>
          <w:sz w:val="18"/>
          <w:szCs w:val="18"/>
          <w:color w:val="auto"/>
        </w:rPr>
      </w:pPr>
    </w:p>
    <w:p>
      <w:pPr>
        <w:jc w:val="both"/>
        <w:ind w:left="660" w:right="14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and arrangements and our ability to enter into strategic collaborations or arrangements, including potential business development opportunities and potential licensing partnerships, and our ability to attract collaborators with development, regulatory and commercialization expertise;</w:t>
      </w:r>
    </w:p>
    <w:p>
      <w:pPr>
        <w:spacing w:after="0" w:line="197" w:lineRule="exact"/>
        <w:rPr>
          <w:rFonts w:ascii="Arial" w:cs="Arial" w:eastAsia="Arial" w:hAnsi="Arial"/>
          <w:sz w:val="18"/>
          <w:szCs w:val="18"/>
          <w:color w:val="auto"/>
        </w:rPr>
      </w:pPr>
    </w:p>
    <w:p>
      <w:pPr>
        <w:ind w:left="660" w:right="68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or our industry;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section titled “Risk Factors.”</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those described under the sections in this Quarterly Report on Form 10-Q entitled “Risk Factors” and “Management’s Discussion and Analysis of Financial Condition and Results of Operations” and elsewhere in this Quarterly Report on Form 10-Q. Because forward-looking statements are inherently subject to risks and uncertainties, some of which cannot be predicted or quantified and some of which are beyond our control, you should not rely on these forward-looking statements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it is not possible for management to predict all risks and uncertainties. Except as required by applicable law, we are not obligated to publicly update or revise any forward-looking statements contained herein, whether as a result of any new information, future events, changed circumstances or otherwise.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7"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color w:val="auto"/>
        </w:rPr>
        <w:t>We use Rallybio as a trademark in the United States ("U.S.") and/or in other countries. This Quarterly Report on Form 10-Q contains references to our trademark and to those belonging to other entities, including Affibody</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Solely for convenience, trademarks and trade names referred to in this Quarterly Report on Form 10-Q, including logos, artwork and other visual displays, may appear without the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a number of risks that are discussed more fully in the “Risk Factors” section of this Quarterly Report on Form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 These risks include the following:</w:t>
      </w:r>
    </w:p>
    <w:p>
      <w:pPr>
        <w:spacing w:after="0" w:line="234" w:lineRule="exact"/>
        <w:rPr>
          <w:sz w:val="20"/>
          <w:szCs w:val="20"/>
          <w:color w:val="auto"/>
        </w:rPr>
      </w:pPr>
    </w:p>
    <w:p>
      <w:pPr>
        <w:ind w:left="660" w:right="28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complete, or delays in completing, the proposed Merger with Avenzo could materially and adversely affect our results of operations, business, financial results and/or stock price;</w:t>
      </w:r>
    </w:p>
    <w:p>
      <w:pPr>
        <w:spacing w:after="0" w:line="179"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Merger may be completed even though a material adverse effect may result from the announcement of the Merger, industry-wide changes and/or other causes;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68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stockholders may not realize a benefit from the Merger commensurate with the ownership dilution they will experience in connection with the Merger;</w:t>
      </w:r>
    </w:p>
    <w:p>
      <w:pPr>
        <w:spacing w:after="0" w:line="179"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anticipate that, if we continue to progress the development of our product candidates, we will continue to incur losses in the foreseeable future. We have not commercialized any products and have never generated revenue from the commercialization of any product. We are not currently profitable, and we may never achieve or sustain profitability;</w:t>
      </w:r>
    </w:p>
    <w:p>
      <w:pPr>
        <w:spacing w:after="0" w:line="203" w:lineRule="exact"/>
        <w:rPr>
          <w:rFonts w:ascii="Arial" w:cs="Arial" w:eastAsia="Arial" w:hAnsi="Arial"/>
          <w:sz w:val="18"/>
          <w:szCs w:val="18"/>
          <w:color w:val="auto"/>
        </w:rPr>
      </w:pPr>
    </w:p>
    <w:p>
      <w:pPr>
        <w:ind w:left="660" w:right="10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continue to progress the development of our product candidates, we will require significant additional capital to fund our operations. If we continue to progress the development of our product candidates and fail to obtain necessary financing, we may not be able to complete the development or commercialization of RLYB116 or any other product candidate. Given our limited resources and access to capital, we may decide to prioritize development of certain product candidates, the choice of which may prove to be wrong and adversely affect our business;</w:t>
      </w:r>
    </w:p>
    <w:p>
      <w:pPr>
        <w:spacing w:after="0" w:line="206" w:lineRule="exact"/>
        <w:rPr>
          <w:rFonts w:ascii="Arial" w:cs="Arial" w:eastAsia="Arial" w:hAnsi="Arial"/>
          <w:sz w:val="18"/>
          <w:szCs w:val="18"/>
          <w:color w:val="auto"/>
        </w:rPr>
      </w:pPr>
    </w:p>
    <w:p>
      <w:pPr>
        <w:ind w:left="660" w:right="5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Raising additional capital may cause dilution to our stockholders, restrict our operations or require us to relinquish rights to our intellectual property or product candidates;</w:t>
      </w:r>
    </w:p>
    <w:p>
      <w:pPr>
        <w:spacing w:after="0" w:line="179"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heavily dependent on the success of RLYB116, which is in early-stage clinical development. If we continue to progress the development of our product candidates, and we are not able to develop, obtain marketing approval for, or successfully commercialize our product candidates, or if we experience significant delays in doing so, our business will be materially harmed;</w:t>
      </w:r>
    </w:p>
    <w:p>
      <w:pPr>
        <w:spacing w:after="0" w:line="197"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Preclinical studies and clinical trials are expensive, time consuming and difficult to design and implement, and involve uncertain outcomes. If we continue to progress the development of our product candidates, we may incur additional costs or experience delays in completing, or ultimately be unable to complete, the development of these product candidates;</w:t>
      </w:r>
    </w:p>
    <w:p>
      <w:pPr>
        <w:spacing w:after="0" w:line="197"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Enrollment and retention of patients in rare disease clinical trials is an expensive and time-consuming process and could be made more difficult or rendered impossible by multiple factors outside our control;</w:t>
      </w:r>
    </w:p>
    <w:p>
      <w:pPr>
        <w:spacing w:after="0" w:line="179" w:lineRule="exact"/>
        <w:rPr>
          <w:rFonts w:ascii="Arial" w:cs="Arial" w:eastAsia="Arial" w:hAnsi="Arial"/>
          <w:sz w:val="18"/>
          <w:szCs w:val="18"/>
          <w:color w:val="auto"/>
        </w:rPr>
      </w:pPr>
    </w:p>
    <w:p>
      <w:pPr>
        <w:ind w:left="660" w:right="10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continue to progress the development of our product candidates, results of preclinical studies, clinical trials or analyses that we may announce or publish from time to time, may not be indicative of results obtained in later trials, and any interim results we may publish could be different than final results;</w:t>
      </w:r>
    </w:p>
    <w:p>
      <w:pPr>
        <w:spacing w:after="0" w:line="197" w:lineRule="exact"/>
        <w:rPr>
          <w:rFonts w:ascii="Arial" w:cs="Arial" w:eastAsia="Arial" w:hAnsi="Arial"/>
          <w:sz w:val="18"/>
          <w:szCs w:val="18"/>
          <w:color w:val="auto"/>
        </w:rPr>
      </w:pPr>
    </w:p>
    <w:p>
      <w:pPr>
        <w:ind w:left="660" w:right="120" w:hanging="328"/>
        <w:spacing w:after="0" w:line="291"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continue to progress the development of our product candidates, any product candidates that we develop or the administration thereof, may cause serious adverse events or undesirable side effects, which may halt their clinical development, delay or prevent marketing approval, or, if approved, require them to be taken off the market, include safety warnings, or otherwise limit their sales;</w:t>
      </w:r>
    </w:p>
    <w:p>
      <w:pPr>
        <w:spacing w:after="0" w:line="179" w:lineRule="exact"/>
        <w:rPr>
          <w:rFonts w:ascii="Arial" w:cs="Arial" w:eastAsia="Arial" w:hAnsi="Arial"/>
          <w:sz w:val="17"/>
          <w:szCs w:val="17"/>
          <w:color w:val="auto"/>
        </w:rPr>
      </w:pPr>
    </w:p>
    <w:p>
      <w:pPr>
        <w:ind w:left="660" w:right="24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marketing approval processes of the U.S. Food and Drug Administration (the "FDA"), the European Medicines Agency (the "EMA"), and comparable foreign regulatory authorities, including the Medicines and Healthcare products Regulatory Agency in the United Kingdom (the “MHRA”), are lengthy, time-consuming, and inherently unpredictable, and if we continue to progress the development of our product candidates and are ultimately unable to obtain marketing approval for RLYB116 or any of our other product candidates, our business will be substantially harmed;</w:t>
      </w:r>
    </w:p>
    <w:p>
      <w:pPr>
        <w:spacing w:after="0" w:line="206" w:lineRule="exact"/>
        <w:rPr>
          <w:rFonts w:ascii="Arial" w:cs="Arial" w:eastAsia="Arial" w:hAnsi="Arial"/>
          <w:sz w:val="18"/>
          <w:szCs w:val="18"/>
          <w:color w:val="auto"/>
        </w:rPr>
      </w:pPr>
    </w:p>
    <w:p>
      <w:pPr>
        <w:ind w:left="660" w:right="54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product candidates target rare diseases and conditions and if we continue to progress the development of our product candidates, the market opportunities for RLYB116 or any of our other product candidates, if approved, may be smaller than we anticipate. We must be able to successfully identify patients and capture a significant market share to achieve profitability and growth;</w:t>
      </w:r>
    </w:p>
    <w:p>
      <w:pPr>
        <w:spacing w:after="0" w:line="203"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significant competition from biotechnology and pharmaceutical companies and if we continue to progress the development of our product candidates, our operating results will suffer if we fail to compete effectively;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continue to progress the development of our product candidates, we may pursue business development transactions and collaborate with third parties for the development and commercialization of our product candidates. We may not succeed in identifying and acquiring businesses or assets, in-licensing intellectual property rights or establishing and maintaining collaborations, which may significantly limit our ability to successfully develop and commercialize our other product candidates, if at all, and these transactions could disrupt our business, cause dilution to our stockholders or reduce our financial resources; and</w:t>
      </w:r>
    </w:p>
    <w:p>
      <w:pPr>
        <w:spacing w:after="0" w:line="206"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obtain, maintain and enforce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 which may also impact the value of any potential Rallybio CVR (as defined below).</w:t>
      </w:r>
    </w:p>
    <w:p>
      <w:pPr>
        <w:spacing w:after="0" w:line="20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foregoing is only a summary of some of our risks. For a more detailed discussion of these and other risks you should consider before making an investment in our common stock, see “Risk Factors.”</w:t>
      </w:r>
    </w:p>
    <w:p>
      <w:pPr>
        <w:spacing w:after="0" w:line="200" w:lineRule="exact"/>
        <w:rPr>
          <w:sz w:val="20"/>
          <w:szCs w:val="20"/>
          <w:color w:val="auto"/>
        </w:rPr>
      </w:pPr>
    </w:p>
    <w:p>
      <w:pPr>
        <w:spacing w:after="0" w:line="3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RALLYBIO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160" w:type="dxa"/>
            <w:vAlign w:val="bottom"/>
          </w:tcPr>
          <w:p>
            <w:pPr>
              <w:spacing w:after="0"/>
              <w:rPr>
                <w:sz w:val="15"/>
                <w:szCs w:val="15"/>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1380" w:type="dxa"/>
            <w:vAlign w:val="bottom"/>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8"/>
        </w:trPr>
        <w:tc>
          <w:tcPr>
            <w:tcW w:w="80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4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0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31,374</w:t>
            </w:r>
          </w:p>
        </w:tc>
        <w:tc>
          <w:tcPr>
            <w:tcW w:w="0" w:type="dxa"/>
            <w:vAlign w:val="bottom"/>
          </w:tcPr>
          <w:p>
            <w:pPr>
              <w:spacing w:after="0"/>
              <w:rPr>
                <w:sz w:val="1"/>
                <w:szCs w:val="1"/>
                <w:color w:val="auto"/>
              </w:rPr>
            </w:pPr>
          </w:p>
        </w:tc>
      </w:tr>
      <w:tr>
        <w:trPr>
          <w:trHeight w:val="249"/>
        </w:trPr>
        <w:tc>
          <w:tcPr>
            <w:tcW w:w="8020" w:type="dxa"/>
            <w:vAlign w:val="bottom"/>
          </w:tcPr>
          <w:p>
            <w:pPr>
              <w:ind w:left="180"/>
              <w:spacing w:after="0"/>
              <w:rPr>
                <w:sz w:val="20"/>
                <w:szCs w:val="20"/>
                <w:color w:val="auto"/>
              </w:rPr>
            </w:pPr>
            <w:r>
              <w:rPr>
                <w:rFonts w:ascii="Arial" w:cs="Arial" w:eastAsia="Arial" w:hAnsi="Arial"/>
                <w:sz w:val="16"/>
                <w:szCs w:val="16"/>
                <w:color w:val="auto"/>
              </w:rPr>
              <w:t>Marketable securities</w:t>
            </w:r>
          </w:p>
        </w:tc>
        <w:tc>
          <w:tcPr>
            <w:tcW w:w="16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23,362</w:t>
            </w:r>
          </w:p>
        </w:tc>
        <w:tc>
          <w:tcPr>
            <w:tcW w:w="0" w:type="dxa"/>
            <w:vAlign w:val="bottom"/>
          </w:tcPr>
          <w:p>
            <w:pPr>
              <w:spacing w:after="0"/>
              <w:rPr>
                <w:sz w:val="1"/>
                <w:szCs w:val="1"/>
                <w:color w:val="auto"/>
              </w:rPr>
            </w:pPr>
          </w:p>
        </w:tc>
      </w:tr>
      <w:tr>
        <w:trPr>
          <w:trHeight w:val="258"/>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6,517</w:t>
            </w:r>
          </w:p>
        </w:tc>
        <w:tc>
          <w:tcPr>
            <w:tcW w:w="0" w:type="dxa"/>
            <w:vAlign w:val="bottom"/>
          </w:tcPr>
          <w:p>
            <w:pPr>
              <w:spacing w:after="0"/>
              <w:rPr>
                <w:sz w:val="1"/>
                <w:szCs w:val="1"/>
                <w:color w:val="auto"/>
              </w:rPr>
            </w:pPr>
          </w:p>
        </w:tc>
      </w:tr>
      <w:tr>
        <w:trPr>
          <w:trHeight w:val="249"/>
        </w:trPr>
        <w:tc>
          <w:tcPr>
            <w:tcW w:w="8020" w:type="dxa"/>
            <w:vAlign w:val="bottom"/>
          </w:tcPr>
          <w:p>
            <w:pPr>
              <w:ind w:left="52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94,769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61,253</w:t>
            </w:r>
          </w:p>
        </w:tc>
        <w:tc>
          <w:tcPr>
            <w:tcW w:w="0" w:type="dxa"/>
            <w:vAlign w:val="bottom"/>
          </w:tcPr>
          <w:p>
            <w:pPr>
              <w:spacing w:after="0"/>
              <w:rPr>
                <w:sz w:val="1"/>
                <w:szCs w:val="1"/>
                <w:color w:val="auto"/>
              </w:rPr>
            </w:pPr>
          </w:p>
        </w:tc>
      </w:tr>
      <w:tr>
        <w:trPr>
          <w:trHeight w:val="26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49"/>
        </w:trPr>
        <w:tc>
          <w:tcPr>
            <w:tcW w:w="80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5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 noncurrent</w:t>
            </w:r>
          </w:p>
        </w:tc>
        <w:tc>
          <w:tcPr>
            <w:tcW w:w="1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257"/>
        </w:trPr>
        <w:tc>
          <w:tcPr>
            <w:tcW w:w="8020" w:type="dxa"/>
            <w:vAlign w:val="bottom"/>
          </w:tcPr>
          <w:p>
            <w:pPr>
              <w:ind w:left="5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95,579</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62,261</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80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49"/>
        </w:trPr>
        <w:tc>
          <w:tcPr>
            <w:tcW w:w="802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3,791</w:t>
            </w:r>
          </w:p>
        </w:tc>
        <w:tc>
          <w:tcPr>
            <w:tcW w:w="0" w:type="dxa"/>
            <w:vAlign w:val="bottom"/>
          </w:tcPr>
          <w:p>
            <w:pPr>
              <w:spacing w:after="0"/>
              <w:rPr>
                <w:sz w:val="1"/>
                <w:szCs w:val="1"/>
                <w:color w:val="auto"/>
              </w:rPr>
            </w:pPr>
          </w:p>
        </w:tc>
      </w:tr>
      <w:tr>
        <w:trPr>
          <w:trHeight w:val="264"/>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liabilities</w:t>
            </w: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8020" w:type="dxa"/>
            <w:vAlign w:val="bottom"/>
          </w:tcPr>
          <w:p>
            <w:pPr>
              <w:ind w:left="180"/>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58"/>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49"/>
        </w:trPr>
        <w:tc>
          <w:tcPr>
            <w:tcW w:w="8020" w:type="dxa"/>
            <w:vAlign w:val="bottom"/>
          </w:tcPr>
          <w:p>
            <w:pPr>
              <w:ind w:left="52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3,283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4,223</w:t>
            </w:r>
          </w:p>
        </w:tc>
        <w:tc>
          <w:tcPr>
            <w:tcW w:w="0" w:type="dxa"/>
            <w:vAlign w:val="bottom"/>
          </w:tcPr>
          <w:p>
            <w:pPr>
              <w:spacing w:after="0"/>
              <w:rPr>
                <w:sz w:val="1"/>
                <w:szCs w:val="1"/>
                <w:color w:val="auto"/>
              </w:rPr>
            </w:pPr>
          </w:p>
        </w:tc>
      </w:tr>
      <w:tr>
        <w:trPr>
          <w:trHeight w:val="25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49"/>
        </w:trPr>
        <w:tc>
          <w:tcPr>
            <w:tcW w:w="8020" w:type="dxa"/>
            <w:vAlign w:val="bottom"/>
          </w:tcPr>
          <w:p>
            <w:pPr>
              <w:ind w:left="52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3,283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4,305</w:t>
            </w:r>
          </w:p>
        </w:tc>
        <w:tc>
          <w:tcPr>
            <w:tcW w:w="0" w:type="dxa"/>
            <w:vAlign w:val="bottom"/>
          </w:tcPr>
          <w:p>
            <w:pPr>
              <w:spacing w:after="0"/>
              <w:rPr>
                <w:sz w:val="1"/>
                <w:szCs w:val="1"/>
                <w:color w:val="auto"/>
              </w:rPr>
            </w:pPr>
          </w:p>
        </w:tc>
      </w:tr>
      <w:tr>
        <w:trPr>
          <w:trHeight w:val="26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7)</w:t>
            </w: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$0.0001 par value per share; 200,000,000 shares authorized as of September 30, 2026 and</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December 31, 2025; and 5,333,190 and 5,283,321 shares issued and outstanding as of September 30, 2026</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and December 31, 2025, respectively</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Preferred stock, $0.0001 par value per share; 50,000,000 shares authorized as of September 30, 2026 and</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020" w:type="dxa"/>
            <w:vAlign w:val="bottom"/>
          </w:tcPr>
          <w:p>
            <w:pPr>
              <w:ind w:left="180"/>
              <w:spacing w:after="0"/>
              <w:rPr>
                <w:sz w:val="20"/>
                <w:szCs w:val="20"/>
                <w:color w:val="auto"/>
              </w:rPr>
            </w:pPr>
            <w:r>
              <w:rPr>
                <w:rFonts w:ascii="Arial" w:cs="Arial" w:eastAsia="Arial" w:hAnsi="Arial"/>
                <w:sz w:val="16"/>
                <w:szCs w:val="16"/>
                <w:color w:val="auto"/>
              </w:rPr>
              <w:t>December 31, 2025; no shares issued or outstanding as of September 30, 2026 and December 31, 2025</w:t>
            </w:r>
          </w:p>
        </w:tc>
        <w:tc>
          <w:tcPr>
            <w:tcW w:w="16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361,628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359,932</w:t>
            </w:r>
          </w:p>
        </w:tc>
        <w:tc>
          <w:tcPr>
            <w:tcW w:w="0" w:type="dxa"/>
            <w:vAlign w:val="bottom"/>
          </w:tcPr>
          <w:p>
            <w:pPr>
              <w:spacing w:after="0"/>
              <w:rPr>
                <w:sz w:val="1"/>
                <w:szCs w:val="1"/>
                <w:color w:val="auto"/>
              </w:rPr>
            </w:pPr>
          </w:p>
        </w:tc>
      </w:tr>
      <w:tr>
        <w:trPr>
          <w:trHeight w:val="249"/>
        </w:trPr>
        <w:tc>
          <w:tcPr>
            <w:tcW w:w="8020" w:type="dxa"/>
            <w:vAlign w:val="bottom"/>
          </w:tcPr>
          <w:p>
            <w:pPr>
              <w:ind w:left="180"/>
              <w:spacing w:after="0"/>
              <w:rPr>
                <w:sz w:val="20"/>
                <w:szCs w:val="20"/>
                <w:color w:val="auto"/>
              </w:rPr>
            </w:pPr>
            <w:r>
              <w:rPr>
                <w:rFonts w:ascii="Arial" w:cs="Arial" w:eastAsia="Arial" w:hAnsi="Arial"/>
                <w:sz w:val="16"/>
                <w:szCs w:val="16"/>
                <w:color w:val="auto"/>
              </w:rPr>
              <w:t>Accumulated other comprehensive gain</w:t>
            </w:r>
          </w:p>
        </w:tc>
        <w:tc>
          <w:tcPr>
            <w:tcW w:w="16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58"/>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(269,336)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(301,998)</w:t>
            </w: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92,296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57,956</w:t>
            </w:r>
          </w:p>
        </w:tc>
        <w:tc>
          <w:tcPr>
            <w:tcW w:w="0" w:type="dxa"/>
            <w:vAlign w:val="bottom"/>
          </w:tcPr>
          <w:p>
            <w:pPr>
              <w:spacing w:after="0"/>
              <w:rPr>
                <w:sz w:val="1"/>
                <w:szCs w:val="1"/>
                <w:color w:val="auto"/>
              </w:rPr>
            </w:pPr>
          </w:p>
        </w:tc>
      </w:tr>
      <w:tr>
        <w:trPr>
          <w:trHeight w:val="282"/>
        </w:trPr>
        <w:tc>
          <w:tcPr>
            <w:tcW w:w="8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95,579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62,261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RALLYBIO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5"/>
                <w:szCs w:val="15"/>
                <w:color w:val="auto"/>
              </w:rPr>
            </w:pPr>
          </w:p>
        </w:tc>
        <w:tc>
          <w:tcPr>
            <w:tcW w:w="264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rPr>
              <w:t>FOR THE NINE MONTHS ENDED</w:t>
            </w:r>
          </w:p>
        </w:tc>
      </w:tr>
      <w:tr>
        <w:trPr>
          <w:trHeight w:val="205"/>
        </w:trPr>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7"/>
                <w:szCs w:val="17"/>
                <w:color w:val="auto"/>
              </w:rPr>
            </w:pPr>
          </w:p>
        </w:tc>
        <w:tc>
          <w:tcPr>
            <w:tcW w:w="2640" w:type="dxa"/>
            <w:vAlign w:val="bottom"/>
            <w:gridSpan w:val="4"/>
          </w:tcPr>
          <w:p>
            <w:pPr>
              <w:jc w:val="right"/>
              <w:ind w:right="779"/>
              <w:spacing w:after="0"/>
              <w:rPr>
                <w:sz w:val="20"/>
                <w:szCs w:val="20"/>
                <w:color w:val="auto"/>
              </w:rPr>
            </w:pPr>
            <w:r>
              <w:rPr>
                <w:rFonts w:ascii="Arial" w:cs="Arial" w:eastAsia="Arial" w:hAnsi="Arial"/>
                <w:sz w:val="14"/>
                <w:szCs w:val="14"/>
                <w:b w:val="1"/>
                <w:bCs w:val="1"/>
                <w:color w:val="auto"/>
              </w:rPr>
              <w:t>SEPTEMBER 30,</w:t>
            </w:r>
          </w:p>
        </w:tc>
      </w:tr>
      <w:tr>
        <w:trPr>
          <w:trHeight w:val="25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1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r>
      <w:tr>
        <w:trPr>
          <w:trHeight w:val="240"/>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50"/>
        </w:trPr>
        <w:tc>
          <w:tcPr>
            <w:tcW w:w="5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Collaboration and license revenue</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r>
      <w:tr>
        <w:trPr>
          <w:trHeight w:val="256"/>
        </w:trPr>
        <w:tc>
          <w:tcPr>
            <w:tcW w:w="54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revenue</w:t>
            </w: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r>
      <w:tr>
        <w:trPr>
          <w:trHeight w:val="249"/>
        </w:trPr>
        <w:tc>
          <w:tcPr>
            <w:tcW w:w="54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4"/>
        </w:trPr>
        <w:tc>
          <w:tcPr>
            <w:tcW w:w="5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15,942</w:t>
            </w:r>
          </w:p>
        </w:tc>
      </w:tr>
      <w:tr>
        <w:trPr>
          <w:trHeight w:val="250"/>
        </w:trPr>
        <w:tc>
          <w:tcPr>
            <w:tcW w:w="5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2,839</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2,994</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13,808</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11,346</w:t>
            </w:r>
          </w:p>
        </w:tc>
      </w:tr>
      <w:tr>
        <w:trPr>
          <w:trHeight w:val="250"/>
        </w:trPr>
        <w:tc>
          <w:tcPr>
            <w:tcW w:w="54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3,423</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7,137</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18,021</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27,288</w:t>
            </w:r>
          </w:p>
        </w:tc>
      </w:tr>
      <w:tr>
        <w:trPr>
          <w:trHeight w:val="249"/>
        </w:trPr>
        <w:tc>
          <w:tcPr>
            <w:tcW w:w="544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(3,423)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(6,925)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(17,809)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(26,652)</w:t>
            </w:r>
          </w:p>
        </w:tc>
      </w:tr>
      <w:tr>
        <w:trPr>
          <w:trHeight w:val="264"/>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49"/>
        </w:trPr>
        <w:tc>
          <w:tcPr>
            <w:tcW w:w="5440" w:type="dxa"/>
            <w:vAlign w:val="bottom"/>
          </w:tcPr>
          <w:p>
            <w:pPr>
              <w:ind w:left="180"/>
              <w:spacing w:after="0"/>
              <w:rPr>
                <w:sz w:val="20"/>
                <w:szCs w:val="20"/>
                <w:color w:val="auto"/>
              </w:rPr>
            </w:pPr>
            <w:r>
              <w:rPr>
                <w:rFonts w:ascii="Arial" w:cs="Arial" w:eastAsia="Arial" w:hAnsi="Arial"/>
                <w:sz w:val="16"/>
                <w:szCs w:val="16"/>
                <w:color w:val="auto"/>
              </w:rPr>
              <w:t>Termination fee</w:t>
            </w:r>
          </w:p>
        </w:tc>
        <w:tc>
          <w:tcPr>
            <w:tcW w:w="16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5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w:t>
            </w:r>
          </w:p>
        </w:tc>
      </w:tr>
      <w:tr>
        <w:trPr>
          <w:trHeight w:val="250"/>
        </w:trPr>
        <w:tc>
          <w:tcPr>
            <w:tcW w:w="5440" w:type="dxa"/>
            <w:vAlign w:val="bottom"/>
          </w:tcPr>
          <w:p>
            <w:pPr>
              <w:ind w:left="180"/>
              <w:spacing w:after="0"/>
              <w:rPr>
                <w:sz w:val="20"/>
                <w:szCs w:val="20"/>
                <w:color w:val="auto"/>
              </w:rPr>
            </w:pPr>
            <w:r>
              <w:rPr>
                <w:rFonts w:ascii="Arial" w:cs="Arial" w:eastAsia="Arial" w:hAnsi="Arial"/>
                <w:sz w:val="16"/>
                <w:szCs w:val="16"/>
                <w:color w:val="auto"/>
              </w:rPr>
              <w:t>Gain on sale of joint venture and other income (expense)</w:t>
            </w:r>
          </w:p>
        </w:tc>
        <w:tc>
          <w:tcPr>
            <w:tcW w:w="16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22,479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22,771</w:t>
            </w:r>
          </w:p>
        </w:tc>
      </w:tr>
      <w:tr>
        <w:trPr>
          <w:trHeight w:val="250"/>
        </w:trPr>
        <w:tc>
          <w:tcPr>
            <w:tcW w:w="54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other income, net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22,941</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51,875</w:t>
            </w:r>
          </w:p>
        </w:tc>
        <w:tc>
          <w:tcPr>
            <w:tcW w:w="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24,400</w:t>
            </w:r>
          </w:p>
        </w:tc>
      </w:tr>
      <w:tr>
        <w:trPr>
          <w:trHeight w:val="249"/>
        </w:trPr>
        <w:tc>
          <w:tcPr>
            <w:tcW w:w="5440" w:type="dxa"/>
            <w:vAlign w:val="bottom"/>
          </w:tcPr>
          <w:p>
            <w:pPr>
              <w:ind w:left="20"/>
              <w:spacing w:after="0"/>
              <w:rPr>
                <w:sz w:val="20"/>
                <w:szCs w:val="20"/>
                <w:color w:val="auto"/>
              </w:rPr>
            </w:pPr>
            <w:r>
              <w:rPr>
                <w:rFonts w:ascii="Arial" w:cs="Arial" w:eastAsia="Arial" w:hAnsi="Arial"/>
                <w:sz w:val="16"/>
                <w:szCs w:val="16"/>
                <w:color w:val="auto"/>
              </w:rPr>
              <w:t>(Loss) income before income tax and equity in losses of joint venture</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(2,645)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16,016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34,066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(2,252)</w:t>
            </w:r>
          </w:p>
        </w:tc>
      </w:tr>
      <w:tr>
        <w:trPr>
          <w:trHeight w:val="264"/>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5440" w:type="dxa"/>
            <w:vAlign w:val="bottom"/>
          </w:tcPr>
          <w:p>
            <w:pPr>
              <w:ind w:left="20"/>
              <w:spacing w:after="0"/>
              <w:rPr>
                <w:sz w:val="20"/>
                <w:szCs w:val="20"/>
                <w:color w:val="auto"/>
              </w:rPr>
            </w:pPr>
            <w:r>
              <w:rPr>
                <w:rFonts w:ascii="Arial" w:cs="Arial" w:eastAsia="Arial" w:hAnsi="Arial"/>
                <w:sz w:val="16"/>
                <w:szCs w:val="16"/>
                <w:color w:val="auto"/>
              </w:rPr>
              <w:t>Loss on investment in joint venture</w:t>
            </w:r>
          </w:p>
        </w:tc>
        <w:tc>
          <w:tcPr>
            <w:tcW w:w="16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874</w:t>
            </w:r>
          </w:p>
        </w:tc>
      </w:tr>
      <w:tr>
        <w:trPr>
          <w:trHeight w:val="282"/>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(2,725)</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16,016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32,662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(3,126)</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7"/>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per common share, basic</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(0.56)</w:t>
            </w:r>
          </w:p>
        </w:tc>
      </w:tr>
      <w:tr>
        <w:trPr>
          <w:trHeight w:val="276"/>
        </w:trPr>
        <w:tc>
          <w:tcPr>
            <w:tcW w:w="5440" w:type="dxa"/>
            <w:vAlign w:val="bottom"/>
          </w:tcPr>
          <w:p>
            <w:pPr>
              <w:ind w:left="20"/>
              <w:spacing w:after="0"/>
              <w:rPr>
                <w:sz w:val="20"/>
                <w:szCs w:val="20"/>
                <w:color w:val="auto"/>
              </w:rPr>
            </w:pPr>
            <w:r>
              <w:rPr>
                <w:rFonts w:ascii="Arial" w:cs="Arial" w:eastAsia="Arial" w:hAnsi="Arial"/>
                <w:sz w:val="16"/>
                <w:szCs w:val="16"/>
                <w:color w:val="auto"/>
              </w:rPr>
              <w:t>Net (loss) income per common share, diluted</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(0.48)</w:t>
            </w:r>
          </w:p>
        </w:tc>
        <w:tc>
          <w:tcPr>
            <w:tcW w:w="80" w:type="dxa"/>
            <w:vAlign w:val="bottom"/>
          </w:tcPr>
          <w:p>
            <w:pPr>
              <w:spacing w:after="0"/>
              <w:rPr>
                <w:sz w:val="23"/>
                <w:szCs w:val="23"/>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5.64</w:t>
            </w:r>
          </w:p>
        </w:tc>
        <w:tc>
          <w:tcPr>
            <w:tcW w:w="80" w:type="dxa"/>
            <w:vAlign w:val="bottom"/>
          </w:tcPr>
          <w:p>
            <w:pPr>
              <w:spacing w:after="0"/>
              <w:rPr>
                <w:sz w:val="23"/>
                <w:szCs w:val="23"/>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(0.56)</w:t>
            </w:r>
          </w:p>
        </w:tc>
      </w:tr>
      <w:tr>
        <w:trPr>
          <w:trHeight w:val="264"/>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common shares outstanding, basic</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5,715,048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5,632,291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5,701,011</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5,611,536</w:t>
            </w:r>
          </w:p>
        </w:tc>
      </w:tr>
      <w:tr>
        <w:trPr>
          <w:trHeight w:val="249"/>
        </w:trPr>
        <w:tc>
          <w:tcPr>
            <w:tcW w:w="544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 diluted</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5,715,048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5,632,291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5,788,752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5,611,536</w:t>
            </w:r>
          </w:p>
        </w:tc>
      </w:tr>
      <w:tr>
        <w:trPr>
          <w:trHeight w:val="278"/>
        </w:trPr>
        <w:tc>
          <w:tcPr>
            <w:tcW w:w="5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9"/>
        </w:trPr>
        <w:tc>
          <w:tcPr>
            <w:tcW w:w="5440" w:type="dxa"/>
            <w:vAlign w:val="bottom"/>
          </w:tcPr>
          <w:p>
            <w:pPr>
              <w:ind w:left="20"/>
              <w:spacing w:after="0"/>
              <w:rPr>
                <w:sz w:val="20"/>
                <w:szCs w:val="20"/>
                <w:color w:val="auto"/>
              </w:rPr>
            </w:pPr>
            <w:r>
              <w:rPr>
                <w:rFonts w:ascii="Arial" w:cs="Arial" w:eastAsia="Arial" w:hAnsi="Arial"/>
                <w:sz w:val="16"/>
                <w:szCs w:val="16"/>
                <w:color w:val="auto"/>
              </w:rPr>
              <w:t>Other comprehensive (loss) gain:</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8"/>
        </w:trPr>
        <w:tc>
          <w:tcPr>
            <w:tcW w:w="5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unrealized gain (loss) on marketable securities</w:t>
            </w: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50"/>
        </w:trPr>
        <w:tc>
          <w:tcPr>
            <w:tcW w:w="5440" w:type="dxa"/>
            <w:vAlign w:val="bottom"/>
          </w:tcPr>
          <w:p>
            <w:pPr>
              <w:ind w:left="20"/>
              <w:spacing w:after="0"/>
              <w:rPr>
                <w:sz w:val="20"/>
                <w:szCs w:val="20"/>
                <w:color w:val="auto"/>
              </w:rPr>
            </w:pPr>
            <w:r>
              <w:rPr>
                <w:rFonts w:ascii="Arial" w:cs="Arial" w:eastAsia="Arial" w:hAnsi="Arial"/>
                <w:sz w:val="16"/>
                <w:szCs w:val="16"/>
                <w:color w:val="auto"/>
              </w:rPr>
              <w:t>Other comprehensive gain (loss)</w:t>
            </w:r>
          </w:p>
        </w:tc>
        <w:tc>
          <w:tcPr>
            <w:tcW w:w="16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81"/>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gain</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(2,725)</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16,023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32,644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(3,170)</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RALLYBIO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Changes in Stockholders' Equity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121" w:right="339" w:bottom="1440" w:gutter="0" w:footer="0" w:header="0"/>
        </w:sectPr>
      </w:pPr>
    </w:p>
    <w:p>
      <w:pPr>
        <w:spacing w:after="0" w:line="304" w:lineRule="exact"/>
        <w:rPr>
          <w:sz w:val="20"/>
          <w:szCs w:val="20"/>
          <w:color w:val="auto"/>
        </w:rPr>
      </w:pPr>
    </w:p>
    <w:p>
      <w:pPr>
        <w:ind w:left="20"/>
        <w:spacing w:after="0" w:line="311" w:lineRule="auto"/>
        <w:rPr>
          <w:sz w:val="20"/>
          <w:szCs w:val="20"/>
          <w:color w:val="auto"/>
        </w:rPr>
      </w:pPr>
      <w:r>
        <w:rPr>
          <w:rFonts w:ascii="Arial" w:cs="Arial" w:eastAsia="Arial" w:hAnsi="Arial"/>
          <w:sz w:val="14"/>
          <w:szCs w:val="14"/>
          <w:b w:val="1"/>
          <w:bCs w:val="1"/>
          <w:i w:val="1"/>
          <w:iCs w:val="1"/>
          <w:u w:val="single" w:color="auto"/>
          <w:color w:val="auto"/>
        </w:rPr>
        <w:t>FOR THE THREE MONTHS ENDED SEPTEMBER 30, 2026 AND 2025</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 except share amounts)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June 30, 2025</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Share-based compensation</w:t>
      </w:r>
    </w:p>
    <w:p>
      <w:pPr>
        <w:spacing w:after="0" w:line="82" w:lineRule="exact"/>
        <w:rPr>
          <w:sz w:val="20"/>
          <w:szCs w:val="20"/>
          <w:color w:val="auto"/>
        </w:rPr>
      </w:pPr>
    </w:p>
    <w:p>
      <w:pPr>
        <w:ind w:left="20" w:right="60"/>
        <w:spacing w:after="0" w:line="362" w:lineRule="auto"/>
        <w:rPr>
          <w:sz w:val="20"/>
          <w:szCs w:val="20"/>
          <w:color w:val="auto"/>
        </w:rPr>
      </w:pPr>
      <w:r>
        <w:rPr>
          <w:rFonts w:ascii="Arial" w:cs="Arial" w:eastAsia="Arial" w:hAnsi="Arial"/>
          <w:sz w:val="14"/>
          <w:szCs w:val="14"/>
          <w:color w:val="auto"/>
        </w:rPr>
        <w:t>Issuance of common stock under the stock award plan Net income</w:t>
      </w:r>
    </w:p>
    <w:p>
      <w:pPr>
        <w:ind w:left="20" w:right="1560"/>
        <w:spacing w:after="0" w:line="475" w:lineRule="auto"/>
        <w:rPr>
          <w:sz w:val="20"/>
          <w:szCs w:val="20"/>
          <w:color w:val="auto"/>
        </w:rPr>
      </w:pPr>
      <w:r>
        <w:rPr>
          <w:rFonts w:ascii="Arial" w:cs="Arial" w:eastAsia="Arial" w:hAnsi="Arial"/>
          <w:sz w:val="14"/>
          <w:szCs w:val="14"/>
          <w:color w:val="auto"/>
        </w:rPr>
        <w:t xml:space="preserve">Other comprehensive gain </w:t>
      </w:r>
      <w:r>
        <w:rPr>
          <w:rFonts w:ascii="Arial" w:cs="Arial" w:eastAsia="Arial" w:hAnsi="Arial"/>
          <w:sz w:val="14"/>
          <w:szCs w:val="14"/>
          <w:b w:val="1"/>
          <w:bCs w:val="1"/>
          <w:color w:val="auto"/>
        </w:rPr>
        <w:t>Balance, September 30, 2025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60" w:type="dxa"/>
            <w:vAlign w:val="bottom"/>
            <w:gridSpan w:val="3"/>
            <w:vMerge w:val="restart"/>
          </w:tcPr>
          <w:p>
            <w:pPr>
              <w:jc w:val="right"/>
              <w:ind w:right="528"/>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ADDITIONAL</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11"/>
        </w:trPr>
        <w:tc>
          <w:tcPr>
            <w:tcW w:w="2060" w:type="dxa"/>
            <w:vAlign w:val="bottom"/>
            <w:tcBorders>
              <w:bottom w:val="single" w:sz="8" w:color="auto"/>
            </w:tcBorders>
            <w:gridSpan w:val="3"/>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PAID-IN</w:t>
            </w:r>
          </w:p>
        </w:tc>
        <w:tc>
          <w:tcPr>
            <w:tcW w:w="1240" w:type="dxa"/>
            <w:vAlign w:val="bottom"/>
            <w:gridSpan w:val="3"/>
            <w:vMerge w:val="continue"/>
          </w:tcPr>
          <w:p>
            <w:pPr>
              <w:spacing w:after="0"/>
              <w:rPr>
                <w:sz w:val="9"/>
                <w:szCs w:val="9"/>
                <w:color w:val="auto"/>
              </w:rPr>
            </w:pPr>
          </w:p>
        </w:tc>
        <w:tc>
          <w:tcPr>
            <w:tcW w:w="14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COMPREHENSIVE</w:t>
            </w:r>
          </w:p>
        </w:tc>
        <w:tc>
          <w:tcPr>
            <w:tcW w:w="13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GAIN</w:t>
            </w:r>
          </w:p>
        </w:tc>
        <w:tc>
          <w:tcPr>
            <w:tcW w:w="260" w:type="dxa"/>
            <w:vAlign w:val="bottom"/>
          </w:tcPr>
          <w:p>
            <w:pPr>
              <w:spacing w:after="0"/>
              <w:rPr>
                <w:sz w:val="18"/>
                <w:szCs w:val="18"/>
                <w:color w:val="auto"/>
              </w:rPr>
            </w:pPr>
          </w:p>
        </w:tc>
        <w:tc>
          <w:tcPr>
            <w:tcW w:w="1080" w:type="dxa"/>
            <w:vAlign w:val="bottom"/>
          </w:tcPr>
          <w:p>
            <w:pPr>
              <w:jc w:val="right"/>
              <w:ind w:right="3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5,213,366</w:t>
            </w:r>
          </w:p>
        </w:tc>
        <w:tc>
          <w:tcPr>
            <w:tcW w:w="80" w:type="dxa"/>
            <w:vAlign w:val="bottom"/>
          </w:tcPr>
          <w:p>
            <w:pPr>
              <w:spacing w:after="0"/>
              <w:rPr>
                <w:sz w:val="18"/>
                <w:szCs w:val="18"/>
                <w:color w:val="auto"/>
              </w:rPr>
            </w:pPr>
          </w:p>
        </w:tc>
        <w:tc>
          <w:tcPr>
            <w:tcW w:w="900" w:type="dxa"/>
            <w:vAlign w:val="bottom"/>
            <w:tcBorders>
              <w:top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358,105</w:t>
            </w:r>
          </w:p>
        </w:tc>
        <w:tc>
          <w:tcPr>
            <w:tcW w:w="8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(312,162)</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8"/>
                <w:szCs w:val="18"/>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45,964</w:t>
            </w:r>
          </w:p>
        </w:tc>
        <w:tc>
          <w:tcPr>
            <w:tcW w:w="0" w:type="dxa"/>
            <w:vAlign w:val="bottom"/>
          </w:tcPr>
          <w:p>
            <w:pPr>
              <w:spacing w:after="0"/>
              <w:rPr>
                <w:sz w:val="1"/>
                <w:szCs w:val="1"/>
                <w:color w:val="auto"/>
              </w:rPr>
            </w:pPr>
          </w:p>
        </w:tc>
      </w:tr>
      <w:tr>
        <w:trPr>
          <w:trHeight w:val="243"/>
        </w:trPr>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21"/>
                <w:szCs w:val="21"/>
                <w:color w:val="auto"/>
              </w:rPr>
            </w:pPr>
          </w:p>
        </w:tc>
        <w:tc>
          <w:tcPr>
            <w:tcW w:w="2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1,047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0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1,047</w:t>
            </w:r>
          </w:p>
        </w:tc>
        <w:tc>
          <w:tcPr>
            <w:tcW w:w="0" w:type="dxa"/>
            <w:vAlign w:val="bottom"/>
          </w:tcPr>
          <w:p>
            <w:pPr>
              <w:spacing w:after="0"/>
              <w:rPr>
                <w:sz w:val="1"/>
                <w:szCs w:val="1"/>
                <w:color w:val="auto"/>
              </w:rPr>
            </w:pPr>
          </w:p>
        </w:tc>
      </w:tr>
      <w:tr>
        <w:trPr>
          <w:trHeight w:val="243"/>
        </w:trPr>
        <w:tc>
          <w:tcPr>
            <w:tcW w:w="1080" w:type="dxa"/>
            <w:vAlign w:val="bottom"/>
          </w:tcPr>
          <w:p>
            <w:pPr>
              <w:jc w:val="right"/>
              <w:spacing w:after="0"/>
              <w:rPr>
                <w:sz w:val="20"/>
                <w:szCs w:val="20"/>
                <w:color w:val="auto"/>
              </w:rPr>
            </w:pPr>
            <w:r>
              <w:rPr>
                <w:rFonts w:ascii="Arial" w:cs="Arial" w:eastAsia="Arial" w:hAnsi="Arial"/>
                <w:sz w:val="14"/>
                <w:szCs w:val="14"/>
                <w:color w:val="auto"/>
              </w:rPr>
              <w:t>28,586</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0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0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21"/>
                <w:szCs w:val="21"/>
                <w:color w:val="auto"/>
              </w:rPr>
            </w:pPr>
          </w:p>
        </w:tc>
        <w:tc>
          <w:tcPr>
            <w:tcW w:w="2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0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16,016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16,016</w:t>
            </w:r>
          </w:p>
        </w:tc>
        <w:tc>
          <w:tcPr>
            <w:tcW w:w="0" w:type="dxa"/>
            <w:vAlign w:val="bottom"/>
          </w:tcPr>
          <w:p>
            <w:pPr>
              <w:spacing w:after="0"/>
              <w:rPr>
                <w:sz w:val="1"/>
                <w:szCs w:val="1"/>
                <w:color w:val="auto"/>
              </w:rPr>
            </w:pPr>
          </w:p>
        </w:tc>
      </w:tr>
      <w:tr>
        <w:trPr>
          <w:trHeight w:val="243"/>
        </w:trPr>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21"/>
                <w:szCs w:val="21"/>
                <w:color w:val="auto"/>
              </w:rPr>
            </w:pPr>
          </w:p>
        </w:tc>
        <w:tc>
          <w:tcPr>
            <w:tcW w:w="2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0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2"/>
        </w:trPr>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080" w:type="dxa"/>
            <w:vAlign w:val="bottom"/>
          </w:tcPr>
          <w:p>
            <w:pPr>
              <w:jc w:val="right"/>
              <w:spacing w:after="0"/>
              <w:rPr>
                <w:sz w:val="20"/>
                <w:szCs w:val="20"/>
                <w:color w:val="auto"/>
              </w:rPr>
            </w:pPr>
            <w:r>
              <w:rPr>
                <w:rFonts w:ascii="Arial" w:cs="Arial" w:eastAsia="Arial" w:hAnsi="Arial"/>
                <w:sz w:val="14"/>
                <w:szCs w:val="14"/>
                <w:color w:val="auto"/>
              </w:rPr>
              <w:t>5,241,952</w:t>
            </w:r>
          </w:p>
        </w:tc>
        <w:tc>
          <w:tcPr>
            <w:tcW w:w="80" w:type="dxa"/>
            <w:vAlign w:val="bottom"/>
          </w:tcPr>
          <w:p>
            <w:pPr>
              <w:spacing w:after="0"/>
              <w:rPr>
                <w:sz w:val="18"/>
                <w:szCs w:val="18"/>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80" w:type="dxa"/>
            <w:vAlign w:val="bottom"/>
          </w:tcPr>
          <w:p>
            <w:pPr>
              <w:ind w:left="4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359,152</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(296,146)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63,034</w:t>
            </w:r>
          </w:p>
        </w:tc>
        <w:tc>
          <w:tcPr>
            <w:tcW w:w="0" w:type="dxa"/>
            <w:vAlign w:val="bottom"/>
          </w:tcPr>
          <w:p>
            <w:pPr>
              <w:spacing w:after="0"/>
              <w:rPr>
                <w:sz w:val="1"/>
                <w:szCs w:val="1"/>
                <w:color w:val="auto"/>
              </w:rPr>
            </w:pPr>
          </w:p>
        </w:tc>
      </w:tr>
      <w:tr>
        <w:trPr>
          <w:trHeight w:val="22"/>
        </w:trPr>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-976630</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-659765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-350520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3560" w:space="180"/>
            <w:col w:w="75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June 30, 2026</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5,306,894</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361,103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(266,611)</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94,496</w:t>
            </w:r>
          </w:p>
        </w:tc>
      </w:tr>
      <w:tr>
        <w:trPr>
          <w:trHeight w:val="222"/>
        </w:trPr>
        <w:tc>
          <w:tcPr>
            <w:tcW w:w="37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9"/>
                <w:szCs w:val="19"/>
                <w:color w:val="auto"/>
              </w:rPr>
            </w:pPr>
          </w:p>
        </w:tc>
        <w:tc>
          <w:tcPr>
            <w:tcW w:w="6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9"/>
                <w:szCs w:val="19"/>
                <w:color w:val="auto"/>
              </w:rPr>
            </w:pPr>
          </w:p>
        </w:tc>
        <w:tc>
          <w:tcPr>
            <w:tcW w:w="8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405</w:t>
            </w:r>
          </w:p>
        </w:tc>
      </w:tr>
      <w:tr>
        <w:trPr>
          <w:trHeight w:val="22"/>
        </w:trPr>
        <w:tc>
          <w:tcPr>
            <w:tcW w:w="3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the stock award plan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2,085</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3740" w:type="dxa"/>
            <w:vAlign w:val="bottom"/>
          </w:tcPr>
          <w:p>
            <w:pPr>
              <w:ind w:left="20"/>
              <w:spacing w:after="0"/>
              <w:rPr>
                <w:sz w:val="20"/>
                <w:szCs w:val="20"/>
                <w:color w:val="auto"/>
              </w:rPr>
            </w:pPr>
            <w:r>
              <w:rPr>
                <w:rFonts w:ascii="Arial" w:cs="Arial" w:eastAsia="Arial" w:hAnsi="Arial"/>
                <w:sz w:val="14"/>
                <w:szCs w:val="14"/>
                <w:color w:val="auto"/>
              </w:rPr>
              <w:t>Issuance of common stock from 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24,211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9"/>
                <w:szCs w:val="19"/>
                <w:color w:val="auto"/>
              </w:rPr>
            </w:pPr>
          </w:p>
        </w:tc>
        <w:tc>
          <w:tcPr>
            <w:tcW w:w="8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22"/>
        </w:trPr>
        <w:tc>
          <w:tcPr>
            <w:tcW w:w="3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43"/>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(2,725)</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(2,725)</w:t>
            </w:r>
          </w:p>
        </w:tc>
      </w:tr>
      <w:tr>
        <w:trPr>
          <w:trHeight w:val="236"/>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2026</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5,333,190</w:t>
            </w:r>
          </w:p>
        </w:tc>
        <w:tc>
          <w:tcPr>
            <w:tcW w:w="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361,628</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(269,336)</w:t>
            </w:r>
          </w:p>
        </w:tc>
        <w:tc>
          <w:tcPr>
            <w:tcW w:w="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92,296</w:t>
            </w:r>
          </w:p>
        </w:tc>
      </w:tr>
      <w:tr>
        <w:trPr>
          <w:trHeight w:val="21"/>
        </w:trPr>
        <w:tc>
          <w:tcPr>
            <w:tcW w:w="3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FOR THE NINE MONTHS ENDED SEPTEMBER 30,</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720" w:type="dxa"/>
            <w:vAlign w:val="bottom"/>
            <w:gridSpan w:val="3"/>
            <w:vMerge w:val="continue"/>
          </w:tcPr>
          <w:p>
            <w:pPr>
              <w:spacing w:after="0"/>
              <w:rPr>
                <w:sz w:val="4"/>
                <w:szCs w:val="4"/>
                <w:color w:val="auto"/>
              </w:rPr>
            </w:pPr>
          </w:p>
        </w:tc>
        <w:tc>
          <w:tcPr>
            <w:tcW w:w="2060" w:type="dxa"/>
            <w:vAlign w:val="bottom"/>
            <w:gridSpan w:val="3"/>
            <w:vMerge w:val="restart"/>
          </w:tcPr>
          <w:p>
            <w:pPr>
              <w:jc w:val="right"/>
              <w:ind w:right="528"/>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00" w:type="dxa"/>
            <w:vAlign w:val="bottom"/>
            <w:tcBorders>
              <w:top w:val="single" w:sz="8" w:color="auto"/>
            </w:tcBorders>
            <w:gridSpan w:val="2"/>
            <w:vMerge w:val="restart"/>
          </w:tcPr>
          <w:p>
            <w:pPr>
              <w:spacing w:after="0" w:line="155" w:lineRule="exact"/>
              <w:rPr>
                <w:sz w:val="20"/>
                <w:szCs w:val="20"/>
                <w:color w:val="auto"/>
              </w:rPr>
            </w:pPr>
            <w:r>
              <w:rPr>
                <w:rFonts w:ascii="Arial" w:cs="Arial" w:eastAsia="Arial" w:hAnsi="Arial"/>
                <w:sz w:val="14"/>
                <w:szCs w:val="14"/>
                <w:b w:val="1"/>
                <w:bCs w:val="1"/>
                <w:i w:val="1"/>
                <w:iCs w:val="1"/>
                <w:color w:val="auto"/>
              </w:rPr>
              <w:t>2026 AND 2025</w:t>
            </w:r>
          </w:p>
        </w:tc>
        <w:tc>
          <w:tcPr>
            <w:tcW w:w="320" w:type="dxa"/>
            <w:vAlign w:val="bottom"/>
            <w:vMerge w:val="restart"/>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400" w:type="dxa"/>
            <w:vAlign w:val="bottom"/>
            <w:gridSpan w:val="2"/>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20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PAID-IN</w:t>
            </w:r>
          </w:p>
        </w:tc>
        <w:tc>
          <w:tcPr>
            <w:tcW w:w="1240" w:type="dxa"/>
            <w:vAlign w:val="bottom"/>
            <w:gridSpan w:val="3"/>
            <w:vMerge w:val="continue"/>
          </w:tcPr>
          <w:p>
            <w:pPr>
              <w:spacing w:after="0"/>
              <w:rPr>
                <w:sz w:val="4"/>
                <w:szCs w:val="4"/>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COMPREHENSIVE</w:t>
            </w:r>
          </w:p>
        </w:tc>
        <w:tc>
          <w:tcPr>
            <w:tcW w:w="13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1420" w:type="dxa"/>
            <w:vAlign w:val="bottom"/>
            <w:gridSpan w:val="3"/>
            <w:vMerge w:val="continue"/>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share amounts)</w:t>
            </w: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GAIN (LOSS)</w:t>
            </w:r>
          </w:p>
        </w:tc>
        <w:tc>
          <w:tcPr>
            <w:tcW w:w="260" w:type="dxa"/>
            <w:vAlign w:val="bottom"/>
          </w:tcPr>
          <w:p>
            <w:pPr>
              <w:spacing w:after="0"/>
              <w:rPr>
                <w:sz w:val="18"/>
                <w:szCs w:val="18"/>
                <w:color w:val="auto"/>
              </w:rPr>
            </w:pPr>
          </w:p>
        </w:tc>
        <w:tc>
          <w:tcPr>
            <w:tcW w:w="1080" w:type="dxa"/>
            <w:vAlign w:val="bottom"/>
          </w:tcPr>
          <w:p>
            <w:pPr>
              <w:jc w:val="right"/>
              <w:ind w:right="3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tcBorders>
            <w:shd w:val="clear" w:color="auto" w:fill="CCEEFF"/>
          </w:tcPr>
          <w:p>
            <w:pPr>
              <w:spacing w:after="0"/>
              <w:rPr>
                <w:sz w:val="20"/>
                <w:szCs w:val="20"/>
                <w:color w:val="auto"/>
              </w:rPr>
            </w:pPr>
          </w:p>
        </w:tc>
        <w:tc>
          <w:tcPr>
            <w:tcW w:w="37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December 31,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5,188,743</w:t>
            </w:r>
          </w:p>
        </w:tc>
        <w:tc>
          <w:tcPr>
            <w:tcW w:w="8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4</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354,602</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(293,020)</w:t>
            </w: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gridSpan w:val="3"/>
          </w:tcPr>
          <w:p>
            <w:pPr>
              <w:spacing w:after="0"/>
              <w:rPr>
                <w:sz w:val="20"/>
                <w:szCs w:val="20"/>
                <w:color w:val="auto"/>
              </w:rPr>
            </w:pPr>
            <w:r>
              <w:rPr>
                <w:rFonts w:ascii="Arial" w:cs="Arial" w:eastAsia="Arial" w:hAnsi="Arial"/>
                <w:sz w:val="14"/>
                <w:szCs w:val="14"/>
                <w:color w:val="auto"/>
              </w:rPr>
              <w:t>Share-based compensation</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9"/>
                <w:szCs w:val="19"/>
                <w:color w:val="auto"/>
              </w:rPr>
            </w:pPr>
          </w:p>
        </w:tc>
        <w:tc>
          <w:tcPr>
            <w:tcW w:w="2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4,540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3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Issuance of common stock under the stock award plan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48,834</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gridSpan w:val="3"/>
          </w:tcPr>
          <w:p>
            <w:pPr>
              <w:spacing w:after="0"/>
              <w:rPr>
                <w:sz w:val="20"/>
                <w:szCs w:val="20"/>
                <w:color w:val="auto"/>
              </w:rPr>
            </w:pPr>
            <w:r>
              <w:rPr>
                <w:rFonts w:ascii="Arial" w:cs="Arial" w:eastAsia="Arial" w:hAnsi="Arial"/>
                <w:sz w:val="14"/>
                <w:szCs w:val="14"/>
                <w:color w:val="auto"/>
              </w:rPr>
              <w:t>Issuance of common stock under the stock purchase plan</w:t>
            </w:r>
          </w:p>
        </w:tc>
        <w:tc>
          <w:tcPr>
            <w:tcW w:w="1080" w:type="dxa"/>
            <w:vAlign w:val="bottom"/>
          </w:tcPr>
          <w:p>
            <w:pPr>
              <w:jc w:val="right"/>
              <w:spacing w:after="0"/>
              <w:rPr>
                <w:sz w:val="20"/>
                <w:szCs w:val="20"/>
                <w:color w:val="auto"/>
              </w:rPr>
            </w:pPr>
            <w:r>
              <w:rPr>
                <w:rFonts w:ascii="Arial" w:cs="Arial" w:eastAsia="Arial" w:hAnsi="Arial"/>
                <w:sz w:val="14"/>
                <w:szCs w:val="14"/>
                <w:color w:val="auto"/>
              </w:rPr>
              <w:t>4,375</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3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Net loss</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20" w:type="dxa"/>
            <w:vAlign w:val="bottom"/>
            <w:gridSpan w:val="3"/>
          </w:tcPr>
          <w:p>
            <w:pPr>
              <w:spacing w:after="0"/>
              <w:rPr>
                <w:sz w:val="20"/>
                <w:szCs w:val="20"/>
                <w:color w:val="auto"/>
              </w:rPr>
            </w:pPr>
            <w:r>
              <w:rPr>
                <w:rFonts w:ascii="Arial" w:cs="Arial" w:eastAsia="Arial" w:hAnsi="Arial"/>
                <w:sz w:val="14"/>
                <w:szCs w:val="14"/>
                <w:color w:val="auto"/>
              </w:rPr>
              <w:t>Other comprehensive loss</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9"/>
                <w:szCs w:val="19"/>
                <w:color w:val="auto"/>
              </w:rPr>
            </w:pPr>
          </w:p>
        </w:tc>
        <w:tc>
          <w:tcPr>
            <w:tcW w:w="2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4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3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September 30, 2025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5,241,952</w:t>
            </w: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359,152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(296,146)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December 31, 2025</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5,283,321</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359,932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(301,998)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57,956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20" w:type="dxa"/>
            <w:vAlign w:val="bottom"/>
            <w:gridSpan w:val="3"/>
          </w:tcPr>
          <w:p>
            <w:pPr>
              <w:spacing w:after="0"/>
              <w:rPr>
                <w:sz w:val="20"/>
                <w:szCs w:val="20"/>
                <w:color w:val="auto"/>
              </w:rPr>
            </w:pPr>
            <w:r>
              <w:rPr>
                <w:rFonts w:ascii="Arial" w:cs="Arial" w:eastAsia="Arial" w:hAnsi="Arial"/>
                <w:sz w:val="14"/>
                <w:szCs w:val="14"/>
                <w:color w:val="auto"/>
              </w:rPr>
              <w:t>Share-based compensation</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9"/>
                <w:szCs w:val="19"/>
                <w:color w:val="auto"/>
              </w:rPr>
            </w:pPr>
          </w:p>
        </w:tc>
        <w:tc>
          <w:tcPr>
            <w:tcW w:w="2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3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Issuance of common stock under the stock award plan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8,769</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gridSpan w:val="3"/>
          </w:tcPr>
          <w:p>
            <w:pPr>
              <w:spacing w:after="0"/>
              <w:rPr>
                <w:sz w:val="20"/>
                <w:szCs w:val="20"/>
                <w:color w:val="auto"/>
              </w:rPr>
            </w:pPr>
            <w:r>
              <w:rPr>
                <w:rFonts w:ascii="Arial" w:cs="Arial" w:eastAsia="Arial" w:hAnsi="Arial"/>
                <w:sz w:val="14"/>
                <w:szCs w:val="14"/>
                <w:color w:val="auto"/>
              </w:rPr>
              <w:t>Issuance of common stock under the stock purchase plan</w:t>
            </w:r>
          </w:p>
        </w:tc>
        <w:tc>
          <w:tcPr>
            <w:tcW w:w="1080" w:type="dxa"/>
            <w:vAlign w:val="bottom"/>
          </w:tcPr>
          <w:p>
            <w:pPr>
              <w:jc w:val="right"/>
              <w:spacing w:after="0"/>
              <w:rPr>
                <w:sz w:val="20"/>
                <w:szCs w:val="20"/>
                <w:color w:val="auto"/>
              </w:rPr>
            </w:pPr>
            <w:r>
              <w:rPr>
                <w:rFonts w:ascii="Arial" w:cs="Arial" w:eastAsia="Arial" w:hAnsi="Arial"/>
                <w:sz w:val="14"/>
                <w:szCs w:val="14"/>
                <w:color w:val="auto"/>
              </w:rPr>
              <w:t>2,802</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3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Issuance of common stock from exercise of stock options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38,298</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gridSpan w:val="3"/>
          </w:tcPr>
          <w:p>
            <w:pPr>
              <w:spacing w:after="0"/>
              <w:rPr>
                <w:sz w:val="20"/>
                <w:szCs w:val="20"/>
                <w:color w:val="auto"/>
              </w:rPr>
            </w:pPr>
            <w:r>
              <w:rPr>
                <w:rFonts w:ascii="Arial" w:cs="Arial" w:eastAsia="Arial" w:hAnsi="Arial"/>
                <w:sz w:val="14"/>
                <w:szCs w:val="14"/>
                <w:color w:val="auto"/>
              </w:rPr>
              <w:t>Net income</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9"/>
                <w:szCs w:val="19"/>
                <w:color w:val="auto"/>
              </w:rPr>
            </w:pPr>
          </w:p>
        </w:tc>
        <w:tc>
          <w:tcPr>
            <w:tcW w:w="2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960" w:type="dxa"/>
            <w:vAlign w:val="bottom"/>
          </w:tcPr>
          <w:p>
            <w:pPr>
              <w:ind w:left="460"/>
              <w:spacing w:after="0"/>
              <w:rPr>
                <w:sz w:val="20"/>
                <w:szCs w:val="20"/>
                <w:color w:val="auto"/>
              </w:rPr>
            </w:pPr>
            <w:r>
              <w:rPr>
                <w:rFonts w:ascii="Arial" w:cs="Arial" w:eastAsia="Arial" w:hAnsi="Arial"/>
                <w:sz w:val="14"/>
                <w:szCs w:val="14"/>
                <w:color w:val="auto"/>
              </w:rPr>
              <w:t>32,662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32,662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Balance, September 30, 2026</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5,333,190</w:t>
            </w:r>
          </w:p>
        </w:tc>
        <w:tc>
          <w:tcPr>
            <w:tcW w:w="8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361,628</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(269,336)</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92,296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RALLYBIO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p>
      <w:pPr>
        <w:jc w:val="center"/>
        <w:ind w:left="7980"/>
        <w:spacing w:after="0"/>
        <w:rPr>
          <w:sz w:val="20"/>
          <w:szCs w:val="20"/>
          <w:color w:val="auto"/>
        </w:rPr>
      </w:pPr>
      <w:r>
        <w:rPr>
          <w:rFonts w:ascii="Arial" w:cs="Arial" w:eastAsia="Arial" w:hAnsi="Arial"/>
          <w:sz w:val="16"/>
          <w:szCs w:val="16"/>
          <w:b w:val="1"/>
          <w:bCs w:val="1"/>
          <w:color w:val="auto"/>
        </w:rPr>
        <w:t>FOR THE NINE MONTHS ENDED</w:t>
      </w:r>
    </w:p>
    <w:p>
      <w:pPr>
        <w:spacing w:after="0" w:line="21" w:lineRule="exact"/>
        <w:rPr>
          <w:sz w:val="20"/>
          <w:szCs w:val="20"/>
          <w:color w:val="auto"/>
        </w:rPr>
      </w:pPr>
    </w:p>
    <w:p>
      <w:pPr>
        <w:jc w:val="center"/>
        <w:ind w:left="798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27940</wp:posOffset>
            </wp:positionV>
            <wp:extent cx="20574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r>
      <w:tr>
        <w:trPr>
          <w:trHeight w:val="22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Provided by (Used in) Operating Activities:</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49"/>
        </w:trPr>
        <w:tc>
          <w:tcPr>
            <w:tcW w:w="80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32,662</w:t>
            </w:r>
          </w:p>
        </w:tc>
        <w:tc>
          <w:tcPr>
            <w:tcW w:w="12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(3,126)</w:t>
            </w: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9"/>
        </w:trPr>
        <w:tc>
          <w:tcPr>
            <w:tcW w:w="80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64"/>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disposal of assets</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9"/>
        </w:trPr>
        <w:tc>
          <w:tcPr>
            <w:tcW w:w="8000" w:type="dxa"/>
            <w:vAlign w:val="bottom"/>
          </w:tcPr>
          <w:p>
            <w:pPr>
              <w:ind w:left="180"/>
              <w:spacing w:after="0"/>
              <w:rPr>
                <w:sz w:val="20"/>
                <w:szCs w:val="20"/>
                <w:color w:val="auto"/>
              </w:rPr>
            </w:pPr>
            <w:r>
              <w:rPr>
                <w:rFonts w:ascii="Arial" w:cs="Arial" w:eastAsia="Arial" w:hAnsi="Arial"/>
                <w:sz w:val="16"/>
                <w:szCs w:val="16"/>
                <w:color w:val="auto"/>
              </w:rPr>
              <w:t>Net accretion of discounts/premiums on debt securities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(476)</w:t>
            </w:r>
          </w:p>
        </w:tc>
      </w:tr>
      <w:tr>
        <w:trPr>
          <w:trHeight w:val="264"/>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4,540</w:t>
            </w:r>
          </w:p>
        </w:tc>
      </w:tr>
      <w:tr>
        <w:trPr>
          <w:trHeight w:val="249"/>
        </w:trPr>
        <w:tc>
          <w:tcPr>
            <w:tcW w:w="8000" w:type="dxa"/>
            <w:vAlign w:val="bottom"/>
          </w:tcPr>
          <w:p>
            <w:pPr>
              <w:ind w:left="180"/>
              <w:spacing w:after="0"/>
              <w:rPr>
                <w:sz w:val="20"/>
                <w:szCs w:val="20"/>
                <w:color w:val="auto"/>
              </w:rPr>
            </w:pPr>
            <w:r>
              <w:rPr>
                <w:rFonts w:ascii="Arial" w:cs="Arial" w:eastAsia="Arial" w:hAnsi="Arial"/>
                <w:sz w:val="16"/>
                <w:szCs w:val="16"/>
                <w:color w:val="auto"/>
              </w:rPr>
              <w:t>Gain on sale of joint venture</w:t>
            </w:r>
          </w:p>
        </w:tc>
        <w:tc>
          <w:tcPr>
            <w:tcW w:w="3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(22,350)</w:t>
            </w:r>
          </w:p>
        </w:tc>
      </w:tr>
      <w:tr>
        <w:trPr>
          <w:trHeight w:val="264"/>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investment in joint venture</w:t>
            </w:r>
          </w:p>
        </w:tc>
        <w:tc>
          <w:tcPr>
            <w:tcW w:w="3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w:t>
            </w:r>
          </w:p>
        </w:tc>
      </w:tr>
      <w:tr>
        <w:trPr>
          <w:trHeight w:val="225"/>
        </w:trPr>
        <w:tc>
          <w:tcPr>
            <w:tcW w:w="800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1"/>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6"/>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operating lease right-of-use assets and other current assets</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(2,858)</w:t>
            </w:r>
          </w:p>
        </w:tc>
      </w:tr>
      <w:tr>
        <w:trPr>
          <w:trHeight w:val="249"/>
        </w:trPr>
        <w:tc>
          <w:tcPr>
            <w:tcW w:w="800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64"/>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 tax liability, operating lease liabilities and other current liabilities</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w:t>
            </w:r>
          </w:p>
        </w:tc>
      </w:tr>
      <w:tr>
        <w:trPr>
          <w:trHeight w:val="250"/>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Deferred revenue</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r>
      <w:tr>
        <w:trPr>
          <w:trHeight w:val="256"/>
        </w:trPr>
        <w:tc>
          <w:tcPr>
            <w:tcW w:w="8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Net cash provided by (used in)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35,665</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(25,134)</w:t>
            </w:r>
          </w:p>
        </w:tc>
      </w:tr>
      <w:tr>
        <w:trPr>
          <w:trHeight w:val="214"/>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Cash Flows Provided by Investing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(10,622)</w:t>
            </w:r>
          </w:p>
        </w:tc>
      </w:tr>
      <w:tr>
        <w:trPr>
          <w:trHeight w:val="249"/>
        </w:trPr>
        <w:tc>
          <w:tcPr>
            <w:tcW w:w="8000" w:type="dxa"/>
            <w:vAlign w:val="bottom"/>
          </w:tcPr>
          <w:p>
            <w:pPr>
              <w:ind w:left="180"/>
              <w:spacing w:after="0"/>
              <w:rPr>
                <w:sz w:val="20"/>
                <w:szCs w:val="20"/>
                <w:color w:val="auto"/>
              </w:rPr>
            </w:pPr>
            <w:r>
              <w:rPr>
                <w:rFonts w:ascii="Arial" w:cs="Arial" w:eastAsia="Arial" w:hAnsi="Arial"/>
                <w:sz w:val="16"/>
                <w:szCs w:val="16"/>
                <w:color w:val="auto"/>
              </w:rPr>
              <w:t>Proceeds from maturities of marketable securities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23,400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35,465</w:t>
            </w:r>
          </w:p>
        </w:tc>
      </w:tr>
      <w:tr>
        <w:trPr>
          <w:trHeight w:val="264"/>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sale of common stock received from sale of joint venture</w:t>
            </w:r>
          </w:p>
        </w:tc>
        <w:tc>
          <w:tcPr>
            <w:tcW w:w="3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r>
      <w:tr>
        <w:trPr>
          <w:trHeight w:val="250"/>
        </w:trPr>
        <w:tc>
          <w:tcPr>
            <w:tcW w:w="8000" w:type="dxa"/>
            <w:vAlign w:val="bottom"/>
          </w:tcPr>
          <w:p>
            <w:pPr>
              <w:ind w:left="180"/>
              <w:spacing w:after="0"/>
              <w:rPr>
                <w:sz w:val="20"/>
                <w:szCs w:val="20"/>
                <w:color w:val="auto"/>
              </w:rPr>
            </w:pPr>
            <w:r>
              <w:rPr>
                <w:rFonts w:ascii="Arial" w:cs="Arial" w:eastAsia="Arial" w:hAnsi="Arial"/>
                <w:sz w:val="16"/>
                <w:szCs w:val="16"/>
                <w:color w:val="auto"/>
              </w:rPr>
              <w:t>Investment in joint venture</w:t>
            </w:r>
          </w:p>
        </w:tc>
        <w:tc>
          <w:tcPr>
            <w:tcW w:w="3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256"/>
        </w:trPr>
        <w:tc>
          <w:tcPr>
            <w:tcW w:w="80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Net cash provided by investing activities</w:t>
            </w: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23,400</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43,343</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Cash Flows Provided by 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6"/>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the issuance of common stock under the stock purchase plan</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50"/>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Proceeds from the issuance of common stock from exercise of stock options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8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42"/>
        </w:trPr>
        <w:tc>
          <w:tcPr>
            <w:tcW w:w="800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59,319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18,219</w:t>
            </w:r>
          </w:p>
        </w:tc>
      </w:tr>
      <w:tr>
        <w:trPr>
          <w:trHeight w:val="25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31,374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13,903</w:t>
            </w:r>
          </w:p>
        </w:tc>
      </w:tr>
      <w:tr>
        <w:trPr>
          <w:trHeight w:val="254"/>
        </w:trPr>
        <w:tc>
          <w:tcPr>
            <w:tcW w:w="8000" w:type="dxa"/>
            <w:vAlign w:val="bottom"/>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90,693</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32,122</w:t>
            </w:r>
          </w:p>
        </w:tc>
      </w:tr>
      <w:tr>
        <w:trPr>
          <w:trHeight w:val="23"/>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RALLYBIO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LIQUIDITY</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Rallybio Corporation and subsidiaries ("Rallybio", the "Company", "we", "our", or "us") is a clinical-stage biotechnology company comprised of experienced biopharma industry leaders with extensive research, development, and rare disease expertise with a mission to develop and commercialize life-transforming therapies for patients with severe and rare diseases. The Company's lead program, RLYB116, is a differentiated complement component 5 (“C5”) inhibitor with the potential to treat diseases of complement dysregulation. In addition, RLYB332, a long-acting matriptase-2 ("MTP-2") antibody for the treatment of diseases of iron overload is currently in preclinical development. In 2025, the Company completed a confirmatory pharmacokinetic ("PK") and pharmacodynamic ("PD") study of RLYB116 in healthy volunteers and reported data in the first quarter of 2026. In April 2025, the Company announced the discontinuation of its RLYB212 program for the prevention of fetal and neonatal alloimmune thrombocytopenia ("FNAIT") based on PK data from the Phase 2 clinical trial that demonstrated an inability of the RLYB212 dose regimen to achieve predicted target concentrations, as well as the minimum target concentration required for efficacy. In July 2025, the Company entered into a definitive agreement to sell its interest in REV102, an Ectonucleotide Pyrophosphatase/Phosphodiesterase 1 ("ENPP1") inhibitor in preclinical development for the treatment of patients with hypophosphatasia ("HPP"), to a subsidiary of its joint venture partner Recursion Pharmaceuticals, Inc. ("Recursion") (the "JV Sale").</w:t>
      </w:r>
    </w:p>
    <w:p>
      <w:pPr>
        <w:spacing w:after="0" w:line="217" w:lineRule="exact"/>
        <w:rPr>
          <w:sz w:val="20"/>
          <w:szCs w:val="20"/>
          <w:color w:val="auto"/>
        </w:rPr>
      </w:pPr>
    </w:p>
    <w:p>
      <w:pPr>
        <w:ind w:right="360"/>
        <w:spacing w:after="0" w:line="318" w:lineRule="auto"/>
        <w:rPr>
          <w:sz w:val="20"/>
          <w:szCs w:val="20"/>
          <w:color w:val="auto"/>
        </w:rPr>
      </w:pPr>
      <w:r>
        <w:rPr>
          <w:rFonts w:ascii="Arial" w:cs="Arial" w:eastAsia="Arial" w:hAnsi="Arial"/>
          <w:sz w:val="17"/>
          <w:szCs w:val="17"/>
          <w:color w:val="auto"/>
        </w:rPr>
        <w:t>On March 1, 2026, Rallybio entered into an Agreement and Plan of Merger and Reorganization with Candid Therapeutics, Inc. (“Candid”) (the “Candid Merger Agreement”) pursuant to which the parties intended to undertake a business combination (the “Candid Merger”).</w:t>
      </w:r>
    </w:p>
    <w:p>
      <w:pPr>
        <w:spacing w:after="0" w:line="15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On May 3, 2026, Candid terminated the Candid Merger Agreement concurrently with entering into a Permitted Alternative Agreement (as defined in the Candid Merger Agreement) with UCB S.A. As a result of the termination of the Candid Merger Agreement, Rallybio was paid on May 4, 2026 a $50.0 million Parent Termination Fee (as defined in the Candid Merger Agreement) and was reimbursed $0.4 million for certain expenses.</w:t>
      </w:r>
    </w:p>
    <w:p>
      <w:pPr>
        <w:spacing w:after="0" w:line="2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Following the termination of the Candid Merger Agreement, Rallybio restarted the evaluation of strategic alternatives. On May 31, 2026, Rallybio entered into an Agreement and Plan of Merger and Reorganization (the “Merger Agreement”) with Avenzo Therapeutics, Inc. (“Avenzo”), a clinical-stage biotechnology company developing next-generation oncology therapies, pursuant to which, among other matters, Farmington Merger Sub, Inc., a Delaware corporation and wholly owned subsidiary of Rallybio (“Merger Sub”), will merge with and into Avenzo (the “Merger”) and Avenzo will survive the Merger as a wholly owned subsidiary of Rallybio. In connection with the Merger, Rallybio will change its name to Avenzo Therapeutics, Inc. (together with its subsidiaries following the Merger, the “combined company”). The Merger is intended to qualify as a tax-free reorganization for U.S. federal income tax purposes. The Merger will become effective at the time the Certificate of Merger has been duly filed with the Secretary of State of the State of Delaware or such other date and time as is agreed upon by Rallybio and Avenzo and specified in the Certificate of Merger (such date, the “Closing Date,” and such time, the “Effective Time”).</w:t>
      </w:r>
    </w:p>
    <w:p>
      <w:pPr>
        <w:spacing w:after="0" w:line="2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Merger, Avenzo entered into a subscription agreement (the “Subscription Agreement”) with certain investors, pursuant to which Avenzo has agreed to sell, and such investors have agreed to purchase, shares of Avenzo common stock for an aggregate purchase price of $215.0 million, immediately prior to the Effective Time (such transaction, the “Concurrent Financing”). The closing of the Concurrent Financing is conditioned upon the satisfaction or waiver of each of the conditions to the closing of the Merger (the “Closing”) as well as certain other conditions.</w:t>
      </w:r>
    </w:p>
    <w:p>
      <w:pPr>
        <w:spacing w:after="0" w:line="20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Subject to the terms and conditions of the Merger Agreement, at the Effective Time, (a) each then-outstanding share of common stock or preferred stock of Avenzo (each such share, an “Avenzo Share”) (excluding any share described in clauses (b) or (c) below and Avenzo Shares held by stockholders who have exercised and perfected appraisal rights for such shares) will be converted into the right to receive a number of shares of Rallybio common stock, calculated in accordance with the Exchange Ratio as defined in the Merger Agreement, (b) each Avenzo Share issued in the Concurrent Financing will be converted into the right to receive a number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of shares of Rallybio common stock calculated in accordance with the Merger Agreement, (c) any Avenzo Shares held as treasury shares or held or owned by Rallybio, Merger Sub or any subsidiary of Rallybio or Avenzo immediately prior to the Effective Time will be canceled and shall cease to exist, and no consideration shall be delivered in exchange therefor. Each then-outstanding option to purchase Avenzo Shares will be converted into an option to purchase Rallybio Common Stock, subject to adjustment as set forth in the Merger Agreement.</w:t>
      </w:r>
    </w:p>
    <w:p>
      <w:pPr>
        <w:spacing w:after="0" w:line="20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Under the Exchange Ratio formula in the Merger Agreement, upon the Closing, on a pro forma basis and based upon the number of shares of Rallybio common stock expected to be issued in connection with the Merger and the Concurrent Financing, pre-Merger equityholders of Avenzo (other than investors in the Concurrent Financing) are expected to own approximately 56.6% of the combined company, pre-Merger equityholders of Rallybio will own approximately 2.8% of the combined company and the investors in the Concurrent Financing are expected to own approximately 40.6% (assuming gross proceeds from the Concurrent Financing of $215.0 million), in each case, calculated on a fully diluted basis, using the treasury stock method, and subject to certain assumptions, including (i) a valuation for Rallybio of $15.0 million (calculated after giving effect to the expected payment of the distribution of Rallybio's pre closing cash), (ii) a valuation for Avenzo of $300.0 million, and (iii) the relative capitalization of Rallybio and Avenzo. The percentage of the combined company that each party’s equityholders will own following the Closing is subject to certain adjustments as described in the Merger Agreement, including the amount of the final Rallybio Net Cash (as defined in the Merger Agreement) at Closing. At any time prior to the Closing, Rallybio will declare</w:t>
      </w:r>
    </w:p>
    <w:p>
      <w:pPr>
        <w:spacing w:after="0" w:line="1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distributions of Rallybio Net Cash to holders of Rallybio common stock and, if applicable, securities convertible into or exchangeable or exercisable for shares of Rallybio common stock outstanding as of the applicable record date, subject to the terms of the Merger Agreement.</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One business day following the Closing Date, the combined company and Computershare Trust Company, N.A. (the “Rights Agent”) are expected to enter into a Contingent Value Rights Agreement (the “Rallybio CVR Agreement”), pursuant to which holders of record of certain Rallybio securities as of the close of business on the last business day prior to the day on which the Effective Time occurs will receive one contingent value right (each, a “Rallybio CVR”) for each outstanding share of Rallybio common stock, pre-funded warrant, Rallybio restricted stock unit or In the Money Parent Option (as defined in the Merger Agreement) held as of such date. Pursuant to the Rallybio CVR Agreement, each Rallybio CVR holder will be entitled to receive their pro rata share of all of the net proceeds (including cash or the value of stock to the extent listed on a national exchange, at the time of disposition), if any, received by Rallybio as a result of payments (“Rallybio CVR Payments”) made to Rallybio of (i) any upfront, milestone, royalty and other payments received under any disposition agreement related to Rallybio’s pre-Merger assets (the “Legacy Assets”), and (ii) all of the cash proceeds, if any, received from Recursion under the Membership Interest Purchase Agreement, dated July 8, 2025, by and among Recursion, Exscientia Ventures I, Inc., Rallybio and Rallybio IPB, LLC. For a period of four months after the Closing Date, the combined company will use commercially reasonable efforts to effect the disposition of the Legacy Assets with respect to a third party that Rallybio had been in discussions with regarding a disposition prior to the Closing Date, subject to certain limitations. Such net proceeds will be subject to certain permitted deductions, including for applicable tax payments, certain expenses incurred or other liabilities borne by Rallybio or its affiliates in respect of the Legacy Assets, and losses incurred by Rallybio or its affiliates due to a third-party proceeding in connection with such disposition.</w:t>
      </w:r>
    </w:p>
    <w:p>
      <w:pPr>
        <w:spacing w:after="0" w:line="2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had cash and cash equivalents of $90.7 million as of September 30, 2026. The Company currently expects that its cash and cash equivalents will be sufficient to fund its operating expenses and capital requirements for more than 12 months from the date these unaudited condensed consolidated financial statements are issued although we anticipate that the Merger will close prior to the end of 2026. The Company does not anticipate that its current cash and cash equivalents as of September 30, 2026 will be sufficient to fund any of its product candidates through regulatory approval, and if the Company continues to progress the development of its product candidates, it will need to raise substantial additional capital to complete the development and commercialization of those product candidates, if approved. If necessary, Rallybio may satisfy any future cash needs through the sale of equity securities, debt financings, corporate collaborations or license agreements, working capital lines of credit, grant funding, interest income earned on invested cash balances or a combination of one or more of these sources.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BASIS OF PRESENTATION AND PRINCIPLES OF CONSOLIDATION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 xml:space="preserve">Unaudited Financial Information — </w:t>
      </w:r>
      <w:r>
        <w:rPr>
          <w:rFonts w:ascii="Arial" w:cs="Arial" w:eastAsia="Arial" w:hAnsi="Arial"/>
          <w:sz w:val="18"/>
          <w:szCs w:val="18"/>
          <w:color w:val="auto"/>
        </w:rPr>
        <w:t>The unaudited condensed consolidated financial statements of the Company have been prepared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conformity with accounting principles generally accepted in the United States of America ("GAAP"), and pursuant to the rules and regulations of the Securities and Exchange Commission (the "SEC"). Any reference in these notes to applicable guidance is meant to refer to GAAP as found in the Accounting Standards Codification (“ASC”) and Accounting Standards Updates ("ASU") promulgated by the Financial Accounting Standards Board ("FASB").</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opinion of the Company, the information furnished reflects all adjustments, all of which are of a normal and recurring nature, necessary for a fair presentation of the financial position and results of operations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unaudited condensed consolidated financial statements include the accounts of Rallybio Corporation and its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2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accompanying unaudited condensed consolidated financial statements and notes should be read in conjunction with Rallybio's Annual Report on Form 10-K for the year ended December 31, 2025 (our "Annual Report"). The Company's significant accounting policies are described in Note 2 of the Notes to the consolidated financial statements included in our Annual Report. There have been no new accounting policies, including the adoption of new accounting standards during the three and nine months ended September 30, 2026, unless otherwise noted below, which could be expected to materially impact the Company's unaudited condensed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Milestone and Royalty Assets</w:t>
      </w:r>
    </w:p>
    <w:p>
      <w:pPr>
        <w:spacing w:after="0" w:line="1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As part of the JV Sale, the Company received consideration including an estimated $3.0 million in future contingent milestones and royalty payments, which are recognized as a contingent consideration asset on the condensed consolidated balance sheets. The fair value of this contingent consideration was determined using a model that incorporates significant unobservable inputs based on Company estimates, external data, and management’s judgment and forecasts. Key assumptions in the model include the discount rate, the timing of expected cash flows, the probability of achieving the milestone and royalty payments, and projected future net revenues.</w:t>
      </w:r>
    </w:p>
    <w:p>
      <w:pPr>
        <w:spacing w:after="0" w:line="18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periodically reviews the carrying value of the contingent consideration when impairment indicators arise and records an impairment loss if the carrying amount materially exceeds the reassessed fair value. Increases in the carrying value are recognized only when contingent gains are realized. Since the contingent payments are tied to Phase 1 clinical study milestones and future royalty payments, the Company believes the likelihood of timely payment by Recursion is uncertain.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The Company’s effective tax rates for the nine months ended September 30, 2026 and 2025 were 7.5% and 0%, respectively. The primary drivers of the variance from the statutory rate were state taxes, Section 162 disallowed compensation, nondeductible stock-based compensation, and valuation allowance. The Company will continue to assess its estimated annual effective tax rate each reporting period.</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assessing the realization of deferred tax assets, management considers whether it is more likely than not that some portion or all of the deferred tax assets will be realized. The ultimate realization of deferred tax assets is dependent upon the generation of future taxable income during the period in which those temporary differences become deductible. Management considers the Company’s history of cumulative net losses, the scheduled reversal of deferred tax liabilities, projected future taxable income and tax planning strategies in making this assessment. The Company has determined that, based on objective positive and negative evidence currently</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available, it is more likely than not that the Company will not realize the benefits of all deferred tax assets. Accordingly, the Company has provided a full valuation allowance for the deferred tax assets. The Company is expecting to have net taxable income for the current year, resulting in current income tax expense for the period. This is primarily due to income resulting from the termination of the Candid Merger Agreement and the termination fee recorded.</w:t>
      </w:r>
    </w:p>
    <w:p>
      <w:pPr>
        <w:spacing w:after="0" w:line="20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As of September 30, 2026, the Company has federal and state post-apportioned net operating loss (“NOL”) carryforwards of approximately $185.8 million and $168.9 million, respectively. All federal NOL carryforwards have an indefinite carryforward period. All state NOL carryforwards have a limited carryforward period and will begin to expire in 2038. As of September 30, 2026, the Company has federal general business tax credits of approximately $24.8 million which have a limited carryforward period and will begin to expire in 2039.</w:t>
      </w:r>
    </w:p>
    <w:p>
      <w:pPr>
        <w:spacing w:after="0" w:line="2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Utilization of the NOL carryforwards may be subject to a substantial annual limitation under Section 382 of the Internal Revenue Code of 1986 (the "Code"),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stockholders or public groups in the stock of a corporation by more than 50% over a three-year period.</w:t>
      </w:r>
    </w:p>
    <w:p>
      <w:pPr>
        <w:spacing w:after="0" w:line="20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completed a Section 382 study through June 30, 2021 and concluded that it underwent an ownership change as defined by the Code on March 27, 2020. The Company completed a high-level analysis for the period July 1, 2021 through September 30, 2026 and does not believe any additional ownership changes occurred during that period. Any future ownership changes that may occur after June 30, 2026, may limit the Company’s ability to utilize remaining tax attributes. Due to the existence of the valuation allowance, limitations created by the 2020 ownership change and any potential future ownership changes will not impact the Company’s effective tax rate.</w:t>
      </w:r>
    </w:p>
    <w:p>
      <w:pPr>
        <w:spacing w:after="0" w:line="1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color w:val="auto"/>
        </w:rPr>
        <w:t>Recently Issued Accounting Pronouncements</w:t>
      </w:r>
      <w:r>
        <w:rPr>
          <w:rFonts w:ascii="Arial" w:cs="Arial" w:eastAsia="Arial" w:hAnsi="Arial"/>
          <w:sz w:val="18"/>
          <w:szCs w:val="18"/>
          <w:color w:val="auto"/>
        </w:rPr>
        <w:t>—In November 2024, the FASB issued ASU 2024-03, Income Statement-Reporting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Comprehensive Income-Expense Disaggregation Disclosures (Subtopic 220-40): </w:t>
      </w:r>
      <w:r>
        <w:rPr>
          <w:rFonts w:ascii="Arial" w:cs="Arial" w:eastAsia="Arial" w:hAnsi="Arial"/>
          <w:sz w:val="18"/>
          <w:szCs w:val="18"/>
          <w:i w:val="1"/>
          <w:iCs w:val="1"/>
          <w:color w:val="auto"/>
        </w:rPr>
        <w:t>Disaggregation of Income Statement Expenses (</w:t>
      </w:r>
      <w:r>
        <w:rPr>
          <w:rFonts w:ascii="Arial" w:cs="Arial" w:eastAsia="Arial" w:hAnsi="Arial"/>
          <w:sz w:val="18"/>
          <w:szCs w:val="18"/>
          <w:color w:val="auto"/>
        </w:rPr>
        <w:t>"ASU 2024-03"). This ASU requires public entities to disclose additional transparency on certain costs and expenses. ASU 2024-03 is effective for annual periods beginning after December 15, 2026, and interim reporting periods beginning after December 15, 2027. Early adoption is permitted. The Company has chosen not to early adopt this standard and is currently evaluating the potential impact of adopting this standard on its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amortized cost, gross unrealized holding gains, gross unrealized holding losses and fair value of our marketable securities by type of security as of September 30, 2026 and December 31, 2025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SEPTEMBER 30, 2026</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07"/>
        </w:trPr>
        <w:tc>
          <w:tcPr>
            <w:tcW w:w="366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Fair Value Hierarchy</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Gross Unrealized</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5"/>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Level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Holding Gains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Holding Losses</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Fair Value</w:t>
            </w:r>
          </w:p>
        </w:tc>
      </w:tr>
      <w:tr>
        <w:trPr>
          <w:trHeight w:val="28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Level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88,044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88,044</w:t>
            </w:r>
          </w:p>
        </w:tc>
      </w:tr>
      <w:tr>
        <w:trPr>
          <w:trHeight w:val="254"/>
        </w:trPr>
        <w:tc>
          <w:tcPr>
            <w:tcW w:w="36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88,044</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88,044</w:t>
            </w:r>
          </w:p>
        </w:tc>
      </w:tr>
      <w:tr>
        <w:trPr>
          <w:trHeight w:val="23"/>
        </w:trPr>
        <w:tc>
          <w:tcPr>
            <w:tcW w:w="3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98"/>
        </w:trPr>
        <w:tc>
          <w:tcPr>
            <w:tcW w:w="3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2025</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07"/>
        </w:trPr>
        <w:tc>
          <w:tcPr>
            <w:tcW w:w="366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Fair Value Hierarchy</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Gross Unrealized</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5"/>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Level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Holding Gains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Holding Losses</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Fair Value</w:t>
            </w:r>
          </w:p>
        </w:tc>
      </w:tr>
      <w:tr>
        <w:trPr>
          <w:trHeight w:val="26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Level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6,695</w:t>
            </w:r>
          </w:p>
        </w:tc>
      </w:tr>
      <w:tr>
        <w:trPr>
          <w:trHeight w:val="261"/>
        </w:trPr>
        <w:tc>
          <w:tcPr>
            <w:tcW w:w="366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Level 1</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19,212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19,229</w:t>
            </w:r>
          </w:p>
        </w:tc>
      </w:tr>
      <w:tr>
        <w:trPr>
          <w:trHeight w:val="23"/>
        </w:trPr>
        <w:tc>
          <w:tcPr>
            <w:tcW w:w="3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8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Level 2</w:t>
            </w:r>
          </w:p>
        </w:tc>
        <w:tc>
          <w:tcPr>
            <w:tcW w:w="1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4,631</w:t>
            </w:r>
          </w:p>
        </w:tc>
      </w:tr>
      <w:tr>
        <w:trPr>
          <w:trHeight w:val="254"/>
        </w:trPr>
        <w:tc>
          <w:tcPr>
            <w:tcW w:w="36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30,537</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30,555</w:t>
            </w:r>
          </w:p>
        </w:tc>
      </w:tr>
      <w:tr>
        <w:trPr>
          <w:trHeight w:val="23"/>
        </w:trPr>
        <w:tc>
          <w:tcPr>
            <w:tcW w:w="3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
        </w:trPr>
        <w:tc>
          <w:tcPr>
            <w:tcW w:w="3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marketable securities by classification in the condensed consolidated balance sheets as of September 30, 2026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19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2026</w:t>
            </w:r>
          </w:p>
        </w:tc>
        <w:tc>
          <w:tcPr>
            <w:tcW w:w="220" w:type="dxa"/>
            <w:vAlign w:val="bottom"/>
          </w:tcPr>
          <w:p>
            <w:pPr>
              <w:spacing w:after="0"/>
              <w:rPr>
                <w:sz w:val="17"/>
                <w:szCs w:val="17"/>
                <w:color w:val="auto"/>
              </w:rPr>
            </w:pPr>
          </w:p>
        </w:tc>
        <w:tc>
          <w:tcPr>
            <w:tcW w:w="184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 2025</w:t>
            </w:r>
          </w:p>
        </w:tc>
      </w:tr>
      <w:tr>
        <w:trPr>
          <w:trHeight w:val="263"/>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88,044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7,193</w:t>
            </w:r>
          </w:p>
        </w:tc>
      </w:tr>
      <w:tr>
        <w:trPr>
          <w:trHeight w:val="261"/>
        </w:trPr>
        <w:tc>
          <w:tcPr>
            <w:tcW w:w="702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22"/>
                <w:szCs w:val="22"/>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23,362</w:t>
            </w:r>
          </w:p>
        </w:tc>
      </w:tr>
      <w:tr>
        <w:trPr>
          <w:trHeight w:val="23"/>
        </w:trPr>
        <w:tc>
          <w:tcPr>
            <w:tcW w:w="7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302"/>
        </w:trPr>
        <w:tc>
          <w:tcPr>
            <w:tcW w:w="7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88,044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30,555</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The fair values of available-for-sale debt securities as of September 30, 2026 and December 31, 2025, by contractual maturity, are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19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2026</w:t>
            </w:r>
          </w:p>
        </w:tc>
        <w:tc>
          <w:tcPr>
            <w:tcW w:w="220" w:type="dxa"/>
            <w:vAlign w:val="bottom"/>
          </w:tcPr>
          <w:p>
            <w:pPr>
              <w:spacing w:after="0"/>
              <w:rPr>
                <w:sz w:val="17"/>
                <w:szCs w:val="17"/>
                <w:color w:val="auto"/>
              </w:rPr>
            </w:pPr>
          </w:p>
        </w:tc>
        <w:tc>
          <w:tcPr>
            <w:tcW w:w="184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 2025</w:t>
            </w:r>
          </w:p>
        </w:tc>
      </w:tr>
      <w:tr>
        <w:trPr>
          <w:trHeight w:val="283"/>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88,044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30,555</w:t>
            </w:r>
          </w:p>
        </w:tc>
      </w:tr>
      <w:tr>
        <w:trPr>
          <w:trHeight w:val="254"/>
        </w:trPr>
        <w:tc>
          <w:tcPr>
            <w:tcW w:w="702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88,044</w:t>
            </w:r>
          </w:p>
        </w:tc>
        <w:tc>
          <w:tcPr>
            <w:tcW w:w="100" w:type="dxa"/>
            <w:vAlign w:val="bottom"/>
          </w:tcPr>
          <w:p>
            <w:pPr>
              <w:spacing w:after="0"/>
              <w:rPr>
                <w:sz w:val="22"/>
                <w:szCs w:val="22"/>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30,555</w:t>
            </w:r>
          </w:p>
        </w:tc>
      </w:tr>
      <w:tr>
        <w:trPr>
          <w:trHeight w:val="23"/>
        </w:trPr>
        <w:tc>
          <w:tcPr>
            <w:tcW w:w="7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fair value of available-for-sale debt securities in an unrealized loss position as of December 31, 2025 was $0.7 million. There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was no aggregate fair value of available-for-sale debt securities in an unrealized loss position as of September 30, 2026.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2026, the Company did not have any investments in a continuous unrealized loss position for more than twelve months.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allowance for credit loss was recorded as of September 30, 2026 and December 31, 2025.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current assets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 as of September 30, 2026 and December 31, 2025:</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19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2026</w:t>
            </w:r>
          </w:p>
        </w:tc>
        <w:tc>
          <w:tcPr>
            <w:tcW w:w="220" w:type="dxa"/>
            <w:vAlign w:val="bottom"/>
          </w:tcPr>
          <w:p>
            <w:pPr>
              <w:spacing w:after="0"/>
              <w:rPr>
                <w:sz w:val="17"/>
                <w:szCs w:val="17"/>
                <w:color w:val="auto"/>
              </w:rPr>
            </w:pPr>
          </w:p>
        </w:tc>
        <w:tc>
          <w:tcPr>
            <w:tcW w:w="184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 2025</w:t>
            </w:r>
          </w:p>
        </w:tc>
      </w:tr>
      <w:tr>
        <w:trPr>
          <w:trHeight w:val="264"/>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3,372</w:t>
            </w:r>
          </w:p>
        </w:tc>
      </w:tr>
      <w:tr>
        <w:trPr>
          <w:trHeight w:val="260"/>
        </w:trPr>
        <w:tc>
          <w:tcPr>
            <w:tcW w:w="7020" w:type="dxa"/>
            <w:vAlign w:val="bottom"/>
          </w:tcPr>
          <w:p>
            <w:pPr>
              <w:ind w:left="20"/>
              <w:spacing w:after="0"/>
              <w:rPr>
                <w:sz w:val="20"/>
                <w:szCs w:val="20"/>
                <w:color w:val="auto"/>
              </w:rPr>
            </w:pPr>
            <w:r>
              <w:rPr>
                <w:rFonts w:ascii="Arial" w:cs="Arial" w:eastAsia="Arial" w:hAnsi="Arial"/>
                <w:sz w:val="18"/>
                <w:szCs w:val="18"/>
                <w:color w:val="auto"/>
              </w:rPr>
              <w:t>Insurance</w:t>
            </w:r>
          </w:p>
        </w:tc>
        <w:tc>
          <w:tcPr>
            <w:tcW w:w="2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3"/>
        </w:trPr>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prepaids</w:t>
            </w:r>
          </w:p>
        </w:tc>
        <w:tc>
          <w:tcPr>
            <w:tcW w:w="2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60"/>
        </w:trPr>
        <w:tc>
          <w:tcPr>
            <w:tcW w:w="70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2,517</w:t>
            </w:r>
          </w:p>
        </w:tc>
      </w:tr>
      <w:tr>
        <w:trPr>
          <w:trHeight w:val="23"/>
        </w:trPr>
        <w:tc>
          <w:tcPr>
            <w:tcW w:w="7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302"/>
        </w:trPr>
        <w:tc>
          <w:tcPr>
            <w:tcW w:w="7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Other current assets consists of approximately $2.2 million related to a contingent payment receivable tied to a Phase 1 clinical study milestone in connection with the JV Sale, and approximately $0.3 million of interest income and other current assets.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current liabilities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as of September 30, 2026 and December 31, 2025:</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19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2026</w:t>
            </w:r>
          </w:p>
        </w:tc>
        <w:tc>
          <w:tcPr>
            <w:tcW w:w="220" w:type="dxa"/>
            <w:vAlign w:val="bottom"/>
          </w:tcPr>
          <w:p>
            <w:pPr>
              <w:spacing w:after="0"/>
              <w:rPr>
                <w:sz w:val="17"/>
                <w:szCs w:val="17"/>
                <w:color w:val="auto"/>
              </w:rPr>
            </w:pPr>
          </w:p>
        </w:tc>
        <w:tc>
          <w:tcPr>
            <w:tcW w:w="184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 2025</w:t>
            </w:r>
          </w:p>
        </w:tc>
      </w:tr>
      <w:tr>
        <w:trPr>
          <w:trHeight w:val="264"/>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and related expenses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r>
      <w:tr>
        <w:trPr>
          <w:trHeight w:val="261"/>
        </w:trPr>
        <w:tc>
          <w:tcPr>
            <w:tcW w:w="702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1,039</w:t>
            </w:r>
          </w:p>
        </w:tc>
      </w:tr>
      <w:tr>
        <w:trPr>
          <w:trHeight w:val="23"/>
        </w:trPr>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61"/>
        </w:trPr>
        <w:tc>
          <w:tcPr>
            <w:tcW w:w="702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
        </w:trPr>
        <w:tc>
          <w:tcPr>
            <w:tcW w:w="7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302"/>
        </w:trPr>
        <w:tc>
          <w:tcPr>
            <w:tcW w:w="7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The Company had 200,000,000 shares of common stock authorized as of September 30, 2026 and December 31, 2025, of which 5,333,190 and 5,283,321 shares were issued and outstanding as of September 30, 2026 and December 31, 2025,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7"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The Company had 50,000,000 shares of preferred stock authorized as of September 30, 2026 and December 31, 2025, of which no shares were issued or outstanding as of September 30, 2026 and December 31,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connection with a follow-on offering, the Company entered into an agreement with certain investors to issue pre-funded warrants in lieu of common stock to purchase up to an aggregate of 416,673 shares of common stock at a price of $47.9992, which represents the per share public offering price of the November 2022 follow-on offering for common stock less a $0.0008 per share exercise price for each pre-funded warrant.</w:t>
      </w:r>
    </w:p>
    <w:p>
      <w:pPr>
        <w:spacing w:after="0" w:line="18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may not effect the exercise of any pre-funded warrant, and a holder will not be entitled to exercise any portion of any pre-funded warrant if, upon giving effect to such exercise, the aggregate number of shares of common stock beneficially owned by the holder (together with its affiliates) would exceed 9.99% of the number of shares of common stock outstanding immediately after giving effect to the exercise, which percentage may be increased or decreased at the holder’s election upon 61 days’ notice to the Company subject to the terms of such pre-funded warrants, provided that such percentage may in no event exceed 19.99%.</w:t>
      </w:r>
    </w:p>
    <w:p>
      <w:pPr>
        <w:spacing w:after="0" w:line="1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The Company's pre-funded warrant is a freestanding instrument that does not meet the definition of a liability pursuant to ASC 480, </w:t>
      </w:r>
      <w:r>
        <w:rPr>
          <w:rFonts w:ascii="Arial" w:cs="Arial" w:eastAsia="Arial" w:hAnsi="Arial"/>
          <w:sz w:val="18"/>
          <w:szCs w:val="18"/>
          <w:i w:val="1"/>
          <w:iCs w:val="1"/>
          <w:color w:val="auto"/>
        </w:rPr>
        <w:t xml:space="preserve">Distinguishing Liabilities from Equity </w:t>
      </w:r>
      <w:r>
        <w:rPr>
          <w:rFonts w:ascii="Arial" w:cs="Arial" w:eastAsia="Arial" w:hAnsi="Arial"/>
          <w:sz w:val="18"/>
          <w:szCs w:val="18"/>
          <w:color w:val="auto"/>
        </w:rPr>
        <w:t>("ASC 480")</w:t>
      </w:r>
      <w:r>
        <w:rPr>
          <w:rFonts w:ascii="Arial" w:cs="Arial" w:eastAsia="Arial" w:hAnsi="Arial"/>
          <w:sz w:val="18"/>
          <w:szCs w:val="18"/>
          <w:i w:val="1"/>
          <w:iCs w:val="1"/>
          <w:color w:val="auto"/>
        </w:rPr>
        <w:t xml:space="preserve">, </w:t>
      </w:r>
      <w:r>
        <w:rPr>
          <w:rFonts w:ascii="Arial" w:cs="Arial" w:eastAsia="Arial" w:hAnsi="Arial"/>
          <w:sz w:val="18"/>
          <w:szCs w:val="18"/>
          <w:color w:val="auto"/>
        </w:rPr>
        <w:t>and does not meet the definition of a derivative pursuant to ASC 815,</w:t>
      </w:r>
      <w:r>
        <w:rPr>
          <w:rFonts w:ascii="Arial" w:cs="Arial" w:eastAsia="Arial" w:hAnsi="Arial"/>
          <w:sz w:val="18"/>
          <w:szCs w:val="18"/>
          <w:i w:val="1"/>
          <w:iCs w:val="1"/>
          <w:color w:val="auto"/>
        </w:rPr>
        <w:t xml:space="preserve"> Derivatives and Hedging </w:t>
      </w:r>
      <w:r>
        <w:rPr>
          <w:rFonts w:ascii="Arial" w:cs="Arial" w:eastAsia="Arial" w:hAnsi="Arial"/>
          <w:sz w:val="18"/>
          <w:szCs w:val="18"/>
          <w:color w:val="auto"/>
        </w:rPr>
        <w:t>("ASC 815"). The pre-funded warrant is indexed to the Company’s common stock and meets all other conditions for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under ASC 480 and ASC 815. Accordingly, the pre-funded warrant was classified as equity and accounted for as a component of additional paid-in capital at the time of issuance. All of the pre-funded warrants related to the November 2022 follow-on offering remain outstanding and unexercised as of September 30, 2026.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7"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Share-based compensation is comprised of the Company's stock options, restricted stock awards, restricted stock units and shares issued pursuant to the employee stock purchase plan, and is classified in the condensed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consolidated statements of operations and comprehensive (loss) income for the three and nine months ended September 30, 2026 and 2025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6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5"/>
                <w:szCs w:val="15"/>
                <w:color w:val="auto"/>
              </w:rPr>
            </w:pPr>
          </w:p>
        </w:tc>
        <w:tc>
          <w:tcPr>
            <w:tcW w:w="292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FOR THE NINE MONTHS ENDED</w:t>
            </w:r>
          </w:p>
        </w:tc>
      </w:tr>
      <w:tr>
        <w:trPr>
          <w:trHeight w:val="205"/>
        </w:trPr>
        <w:tc>
          <w:tcPr>
            <w:tcW w:w="4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r>
      <w:tr>
        <w:trPr>
          <w:trHeight w:val="237"/>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r>
      <w:tr>
        <w:trPr>
          <w:trHeight w:val="263"/>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r>
      <w:tr>
        <w:trPr>
          <w:trHeight w:val="261"/>
        </w:trPr>
        <w:tc>
          <w:tcPr>
            <w:tcW w:w="46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2,612</w:t>
            </w:r>
          </w:p>
        </w:tc>
      </w:tr>
      <w:tr>
        <w:trPr>
          <w:trHeight w:val="23"/>
        </w:trPr>
        <w:tc>
          <w:tcPr>
            <w:tcW w:w="4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02"/>
        </w:trPr>
        <w:tc>
          <w:tcPr>
            <w:tcW w:w="46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2021, the board of directors adopted the Rallybio Corporation 2021 Equity Incentive Plan (the "2021 Plan"). The 2021 Plan initially reserved 680,043 shares of the Company's common stock that have been issued in respect of outstanding equity awards granted prior to the Company's initial public offering ("IPO"), and for future issuances of shares to employees, directors and consultants in the form of stock options, SARs, restricted and unrestricted stock and stock units, performance awards and other awards that are convertible into or otherwise based on the Company's common stock. Dividend equivalents may also be provided in connection with awards under the 2021 Plan. The share pool will automatically increase on January 1st of each year until 2031, by the lesser of (i) five percent of the number of shares of the Company's common stock outstanding as of such date and (ii) the number of shares of the Company's common stock determined by the board of directors on or prior to such date. On January 1, 2026 and January 1, 2025, the 2021 Plan share pool was automatically increased by 264,166 and 259,438 shares, respectively. As of September 30, 2026, the total number of shares of the Company's common stock that were issuable under the 2021 Plan was 1,474,672 shares, of which 846,367 shares remained available for future issuance.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the nine months ended September 30, 2026:</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Weighted-Average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62"/>
        </w:trPr>
        <w:tc>
          <w:tcPr>
            <w:tcW w:w="4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Stock Options</w:t>
            </w:r>
          </w:p>
        </w:tc>
        <w:tc>
          <w:tcPr>
            <w:tcW w:w="80" w:type="dxa"/>
            <w:vAlign w:val="bottom"/>
            <w:vMerge w:val="restart"/>
          </w:tcPr>
          <w:p>
            <w:pPr>
              <w:spacing w:after="0"/>
              <w:rPr>
                <w:sz w:val="14"/>
                <w:szCs w:val="14"/>
                <w:color w:val="auto"/>
              </w:rPr>
            </w:pPr>
          </w:p>
        </w:tc>
        <w:tc>
          <w:tcPr>
            <w:tcW w:w="1480" w:type="dxa"/>
            <w:vAlign w:val="bottom"/>
          </w:tcPr>
          <w:p>
            <w:pPr>
              <w:jc w:val="right"/>
              <w:ind w:right="34"/>
              <w:spacing w:after="0"/>
              <w:rPr>
                <w:sz w:val="20"/>
                <w:szCs w:val="20"/>
                <w:color w:val="auto"/>
              </w:rPr>
            </w:pPr>
            <w:r>
              <w:rPr>
                <w:rFonts w:ascii="Arial" w:cs="Arial" w:eastAsia="Arial" w:hAnsi="Arial"/>
                <w:sz w:val="14"/>
                <w:szCs w:val="14"/>
                <w:b w:val="1"/>
                <w:bCs w:val="1"/>
                <w:color w:val="auto"/>
              </w:rPr>
              <w:t>Number of Option</w:t>
            </w:r>
          </w:p>
        </w:tc>
        <w:tc>
          <w:tcPr>
            <w:tcW w:w="100" w:type="dxa"/>
            <w:vAlign w:val="bottom"/>
          </w:tcPr>
          <w:p>
            <w:pPr>
              <w:spacing w:after="0"/>
              <w:rPr>
                <w:sz w:val="14"/>
                <w:szCs w:val="14"/>
                <w:color w:val="auto"/>
              </w:rPr>
            </w:pP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Weighted-Average</w:t>
            </w: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Contractual Term</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9"/>
        </w:trPr>
        <w:tc>
          <w:tcPr>
            <w:tcW w:w="4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6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stock options at December 31,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628,280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60"/>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32,360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480" w:type="dxa"/>
            <w:vAlign w:val="bottom"/>
          </w:tcPr>
          <w:p>
            <w:pPr>
              <w:jc w:val="right"/>
              <w:spacing w:after="0"/>
              <w:rPr>
                <w:sz w:val="20"/>
                <w:szCs w:val="20"/>
                <w:color w:val="auto"/>
              </w:rPr>
            </w:pPr>
            <w:r>
              <w:rPr>
                <w:rFonts w:ascii="Arial" w:cs="Arial" w:eastAsia="Arial" w:hAnsi="Arial"/>
                <w:sz w:val="18"/>
                <w:szCs w:val="18"/>
                <w:color w:val="auto"/>
              </w:rPr>
              <w:t>(13,317)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93.52</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(38,298)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Outstanding stock options at September 30, 2026</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597,621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43.10</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Exercisable stock options at September 30, 2026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456,886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aggregate intrinsic value is calculated as the difference between the exercise price of the underlying stock options and the estimated fair value of the Company's common stock. Stock options outstanding with an exercise price below the closing price as of September 30, 2026 had an intrinsic value of approximately $2.4 million. Stock options outstanding and exercisable with an exercise price below the closing price as of September 30, 2026 had an intrinsic value of $1.4 million. These values are based on a common stock fair value of $17.20 per share, which was the closing price of the Company's common stock on September 30, 2026. Using the Black-Scholes option pricing model, the weighted-average grant date fair value of stock options granted during the nine months ended September 30, 2026 and 2025 was $3.60 per share and $4.96 per share, respectively. As of September 30, 2026, there was unrecognized share-based compensation expense related to nonvested stock options of $1.4 million</w:t>
      </w:r>
      <w:r>
        <w:rPr>
          <w:rFonts w:ascii="Arial" w:cs="Arial" w:eastAsia="Arial" w:hAnsi="Arial"/>
          <w:sz w:val="18"/>
          <w:szCs w:val="18"/>
          <w:color w:val="EE2724"/>
        </w:rPr>
        <w:t>,</w:t>
      </w:r>
      <w:r>
        <w:rPr>
          <w:rFonts w:ascii="Arial" w:cs="Arial" w:eastAsia="Arial" w:hAnsi="Arial"/>
          <w:sz w:val="18"/>
          <w:szCs w:val="18"/>
          <w:color w:val="auto"/>
        </w:rPr>
        <w:t xml:space="preserve"> which the Company expects to recognize over a weighted-average period of approximately 1.6 years</w:t>
      </w:r>
      <w:r>
        <w:rPr>
          <w:rFonts w:ascii="Arial" w:cs="Arial" w:eastAsia="Arial" w:hAnsi="Arial"/>
          <w:sz w:val="18"/>
          <w:szCs w:val="18"/>
          <w:color w:val="EE2724"/>
        </w:rPr>
        <w:t>.</w:t>
      </w:r>
      <w:r>
        <w:rPr>
          <w:rFonts w:ascii="Arial" w:cs="Arial" w:eastAsia="Arial" w:hAnsi="Arial"/>
          <w:sz w:val="18"/>
          <w:szCs w:val="18"/>
          <w:color w:val="auto"/>
        </w:rPr>
        <w:t xml:space="preserve"> As of September 30, 2026, in connection with the proposed Merger, all nonvested stock options are expected to vest and the remaining expense will be recognized before the Closing Date.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stock options granted during the nine months ended September 30, 2026 and 2025 was determined using the Black-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with the following assumptions:</w:t>
      </w:r>
    </w:p>
    <w:p>
      <w:pPr>
        <w:spacing w:after="0" w:line="284"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FOR THE NINE MONTHS ENDED</w:t>
      </w:r>
    </w:p>
    <w:p>
      <w:pPr>
        <w:spacing w:after="0" w:line="29"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23495</wp:posOffset>
            </wp:positionV>
            <wp:extent cx="26314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00" w:type="dxa"/>
            <w:vAlign w:val="bottom"/>
            <w:tcBorders>
              <w:bottom w:val="single" w:sz="8" w:color="CCEEFF"/>
            </w:tcBorders>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2025</w:t>
            </w:r>
          </w:p>
        </w:tc>
      </w:tr>
      <w:tr>
        <w:trPr>
          <w:trHeight w:val="26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109.21%</w:t>
            </w:r>
          </w:p>
        </w:tc>
        <w:tc>
          <w:tcPr>
            <w:tcW w:w="1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8"/>
              </w:rPr>
              <w:t>91.88% - 119.61%</w:t>
            </w:r>
          </w:p>
        </w:tc>
      </w:tr>
      <w:tr>
        <w:trPr>
          <w:trHeight w:val="261"/>
        </w:trPr>
        <w:tc>
          <w:tcPr>
            <w:tcW w:w="710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2020" w:type="dxa"/>
            <w:vAlign w:val="bottom"/>
          </w:tcPr>
          <w:p>
            <w:pPr>
              <w:jc w:val="center"/>
              <w:spacing w:after="0"/>
              <w:rPr>
                <w:sz w:val="20"/>
                <w:szCs w:val="20"/>
                <w:color w:val="auto"/>
              </w:rPr>
            </w:pPr>
            <w:r>
              <w:rPr>
                <w:rFonts w:ascii="Arial" w:cs="Arial" w:eastAsia="Arial" w:hAnsi="Arial"/>
                <w:sz w:val="18"/>
                <w:szCs w:val="18"/>
                <w:color w:val="auto"/>
                <w:w w:val="96"/>
              </w:rPr>
              <w:t>5.25</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5.27</w:t>
            </w:r>
          </w:p>
        </w:tc>
        <w:tc>
          <w:tcPr>
            <w:tcW w:w="1060" w:type="dxa"/>
            <w:vAlign w:val="bottom"/>
          </w:tcPr>
          <w:p>
            <w:pPr>
              <w:ind w:left="20"/>
              <w:spacing w:after="0"/>
              <w:rPr>
                <w:sz w:val="20"/>
                <w:szCs w:val="20"/>
                <w:color w:val="auto"/>
              </w:rPr>
            </w:pPr>
            <w:r>
              <w:rPr>
                <w:rFonts w:ascii="Arial" w:cs="Arial" w:eastAsia="Arial" w:hAnsi="Arial"/>
                <w:sz w:val="18"/>
                <w:szCs w:val="18"/>
                <w:color w:val="auto"/>
              </w:rPr>
              <w:t>- 6.02</w:t>
            </w:r>
          </w:p>
        </w:tc>
      </w:tr>
      <w:tr>
        <w:trPr>
          <w:trHeight w:val="23"/>
        </w:trPr>
        <w:tc>
          <w:tcPr>
            <w:tcW w:w="7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3"/>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 free interest rate</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3.68%</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- 4.39%</w:t>
            </w:r>
          </w:p>
        </w:tc>
      </w:tr>
      <w:tr>
        <w:trPr>
          <w:trHeight w:val="261"/>
        </w:trPr>
        <w:tc>
          <w:tcPr>
            <w:tcW w:w="71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0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7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$7.60</w:t>
            </w:r>
          </w:p>
        </w:tc>
      </w:tr>
      <w:tr>
        <w:trPr>
          <w:trHeight w:val="23"/>
        </w:trPr>
        <w:tc>
          <w:tcPr>
            <w:tcW w:w="71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A summary of the status of the Company's nonvested restricted common stock units at September 30, 2026 and changes during the nine months ended September 30, 2026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Weighted-Average Grant</w:t>
            </w:r>
          </w:p>
        </w:tc>
        <w:tc>
          <w:tcPr>
            <w:tcW w:w="0" w:type="dxa"/>
            <w:vAlign w:val="bottom"/>
          </w:tcPr>
          <w:p>
            <w:pPr>
              <w:spacing w:after="0"/>
              <w:rPr>
                <w:sz w:val="1"/>
                <w:szCs w:val="1"/>
                <w:color w:val="auto"/>
              </w:rPr>
            </w:pPr>
          </w:p>
        </w:tc>
      </w:tr>
      <w:tr>
        <w:trPr>
          <w:trHeight w:val="175"/>
        </w:trPr>
        <w:tc>
          <w:tcPr>
            <w:tcW w:w="7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Restricted Stock Units</w:t>
            </w:r>
          </w:p>
        </w:tc>
        <w:tc>
          <w:tcPr>
            <w:tcW w:w="80" w:type="dxa"/>
            <w:vAlign w:val="bottom"/>
            <w:vMerge w:val="restart"/>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ind w:right="475"/>
              <w:spacing w:after="0"/>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205"/>
        </w:trPr>
        <w:tc>
          <w:tcPr>
            <w:tcW w:w="76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7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Value Per Share</w:t>
            </w:r>
          </w:p>
        </w:tc>
        <w:tc>
          <w:tcPr>
            <w:tcW w:w="0" w:type="dxa"/>
            <w:vAlign w:val="bottom"/>
          </w:tcPr>
          <w:p>
            <w:pPr>
              <w:spacing w:after="0"/>
              <w:rPr>
                <w:sz w:val="1"/>
                <w:szCs w:val="1"/>
                <w:color w:val="auto"/>
              </w:rPr>
            </w:pPr>
          </w:p>
        </w:tc>
      </w:tr>
      <w:tr>
        <w:trPr>
          <w:trHeight w:val="263"/>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December 31, 2025</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38,603</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61"/>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5,000</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6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1720" w:type="dxa"/>
            <w:vAlign w:val="bottom"/>
          </w:tcPr>
          <w:p>
            <w:pPr>
              <w:jc w:val="right"/>
              <w:spacing w:after="0"/>
              <w:rPr>
                <w:sz w:val="20"/>
                <w:szCs w:val="20"/>
                <w:color w:val="auto"/>
              </w:rPr>
            </w:pPr>
            <w:r>
              <w:rPr>
                <w:rFonts w:ascii="Arial" w:cs="Arial" w:eastAsia="Arial" w:hAnsi="Arial"/>
                <w:sz w:val="18"/>
                <w:szCs w:val="18"/>
                <w:color w:val="auto"/>
              </w:rPr>
              <w:t>(8,769)</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September 30, 2026</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30,684</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As of September 30, 2026, there was unrecognized share-based compensation expense related to nonvested restricted stock units of $0.2 million, which the Company expects to recognize over a weighted-average period of approximately 1.6 years</w:t>
      </w:r>
      <w:r>
        <w:rPr>
          <w:rFonts w:ascii="Arial" w:cs="Arial" w:eastAsia="Arial" w:hAnsi="Arial"/>
          <w:sz w:val="18"/>
          <w:szCs w:val="18"/>
          <w:color w:val="EE2724"/>
        </w:rPr>
        <w:t>.</w:t>
      </w:r>
      <w:r>
        <w:rPr>
          <w:rFonts w:ascii="Arial" w:cs="Arial" w:eastAsia="Arial" w:hAnsi="Arial"/>
          <w:sz w:val="18"/>
          <w:szCs w:val="18"/>
          <w:color w:val="auto"/>
        </w:rPr>
        <w:t xml:space="preserve"> As of September 30, 2026, in connection with the proposed Merger, all nonvested restricted stock units are expected to vest and the remaining expense will be recognized before the Closing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2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connection with the Company's IPO, the board of directors adopted the Rallybio Corporation 2021 Employee Stock Purchase Plan (the "2021 ESPP"), which initially reserved 36,415 shares of the Company's common stock for future issuances under this plan. The share pool will automatically increase on January 1st of each year from 2022 to 2031, by the lesser of (i) one percent of the number of shares of the Company's common stock outstanding as of such date, (ii) 72,831 shares of the Company’s common stock and (iii) the number of shares of the Company's common stock determined by the board of directors on or prior to such date. The 2021 ESPP share pool did not increase on January 1, 2026 or January 1, 2025. As of September 30, 2026, the total number of shares of the Company's common stock available for future issuance under the 2021 ESPP was 91,479 shares. During the nine months ended September 30, 2026 and 2025, the Company issued 2,802 and 4,375, respectively, of the Company's common stock under the 2021 ESPP.</w:t>
      </w:r>
    </w:p>
    <w:p>
      <w:pPr>
        <w:spacing w:after="0" w:line="18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The 2021 ESPP allows eligible participants to purchase shares of the Company's common stock through authorized payroll deductions. The purchase price of the shares will not be less than 85% of the lower of the fair market value of the Company's common stock on the first day of an offering or on the date of the purchase.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 IN JOINT VENTURE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July 2025, the Company entered into a Membership Interest Purchase Agreement (the "ENPP1 Purchase Agreement") to sell its interest in REV102, an ENPP1 inhibitor in preclinical development for the treatment of patients with HPP, to Recursion Exscientia Ventures I, Inc, an indirect wholly-owned subsidiary of Recursion ("Buyer"). In connection with the JV Sale, the Company received compensation in the form of Recursion common stock (which is a non-cash investing activity). The Company subsequently sold the Recursion common stock for cash proceeds of $20.0 million in the third quarter of 2025 which included $7.5 million from an upfront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payment and $12.5 million from a milestone payment related to the initiation of additional preclinical studies. The Company is eligible to receive a $5.0 million milestone cash payment in connection with the initiation of dosing in a Phase 1 clinical study, as defined in the ENPP1 Purchase Agreement and low single-digit royalties on all future net sales by Recursion of products comprising or incorporating certain compounds developed by RE Ventures I, LLC, a limited liability company (“REV-I”). The Company may also be eligible to receive certain payments in the event of Recursion’s sale of the REV102 program.</w:t>
      </w:r>
    </w:p>
    <w:p>
      <w:pPr>
        <w:spacing w:after="0" w:line="179"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 xml:space="preserve">The Company evaluated the JV Sale under ASC 860, </w:t>
      </w:r>
      <w:r>
        <w:rPr>
          <w:rFonts w:ascii="Arial" w:cs="Arial" w:eastAsia="Arial" w:hAnsi="Arial"/>
          <w:sz w:val="18"/>
          <w:szCs w:val="18"/>
          <w:i w:val="1"/>
          <w:iCs w:val="1"/>
          <w:color w:val="auto"/>
        </w:rPr>
        <w:t>Transfers and Servicing of Financial Assets</w:t>
      </w:r>
      <w:r>
        <w:rPr>
          <w:rFonts w:ascii="Arial" w:cs="Arial" w:eastAsia="Arial" w:hAnsi="Arial"/>
          <w:sz w:val="18"/>
          <w:szCs w:val="18"/>
          <w:color w:val="auto"/>
        </w:rPr>
        <w:t xml:space="preserve"> (“ASC 860”). Based on the Company’s evaluation of the JV Sale under ASC 860, the Company recognized a gain from the sale of its equity interests in REV102 of $22.4 million, based on the excess of the total net consideration allocated to the sale of the Company’s equity interests (based on relative fair value) of $23.0 million over the carrying value of the equity interests sold of $0.6 million. The total net consideration of $23.0 million included cash received of $20.0 million, plus an estimated $3.0 million representing the fair value of the future milestone payments and future royalties (which is a non-cash investing activity).</w:t>
      </w:r>
    </w:p>
    <w:p>
      <w:pPr>
        <w:spacing w:after="0" w:line="18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contingent consideration was initially measured at fair value using a probability based present value model of the risk-adjusted estimated cash flows, with a discount rate of 15.4%. This valuation model relied on significant unobservable inputs (level 3 inputs) based on management’s estimates, which were informed by external data, judgment, and forecasts. Key assumptions included the probability of achieving the milestone and royalties, timing of cash flows, discount rate, and forecasted net revenues. The fair value of the contingent consideration is a non-recurring fair value measurement and is recorded as other assets and other assets, non-current on the Company's condensed consolidated balance sheets and as gain on sale of joint venture and other income (expense) within the Company's condensed consolidated statements of operations and comprehensive (loss) income</w:t>
      </w:r>
      <w:r>
        <w:rPr>
          <w:rFonts w:ascii="Arial" w:cs="Arial" w:eastAsia="Arial" w:hAnsi="Arial"/>
          <w:sz w:val="18"/>
          <w:szCs w:val="18"/>
          <w:color w:val="EE2724"/>
        </w:rPr>
        <w:t>.</w:t>
      </w:r>
    </w:p>
    <w:p>
      <w:pPr>
        <w:spacing w:after="0" w:line="18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Prior to the JV Sale, the Company, through one of its wholly-owned subsidiaries, had a 50% interest of the joint venture entity, REV-I. For the three and nine months ended September 30, 2026 and the three months ended September 30, 2025, the Company did not fund REV-I due to the JV Sale. For the nine months ended September 30, 2025, the Company funded $1.5 million associated with the Company's commitment and its share of REV-I development costs. The Company did not provide any additional financial support outside of capital contributions to REV-I during the three and nine months ended September 30, 2026 and 2025. However, in connection with the joint venture, the Company provided certain scientific and finance and accounting related support which was reimbursed by REV-I to the Company and included in other income on the condensed consolidated statements of operations and comprehensive (loss) income. For the three and nine months ended September 30, 2026 and the three months ended September 30, 2025, the Company did not provide such support due to the JV Sale. For the nine months ended September 30, 2025, the Company provided $0.3 million related to such support</w:t>
      </w:r>
      <w:r>
        <w:rPr>
          <w:rFonts w:ascii="Arial" w:cs="Arial" w:eastAsia="Arial" w:hAnsi="Arial"/>
          <w:sz w:val="17"/>
          <w:szCs w:val="17"/>
          <w:color w:val="EE2724"/>
        </w:rPr>
        <w:t>.</w:t>
      </w:r>
      <w:r>
        <w:rPr>
          <w:rFonts w:ascii="Arial" w:cs="Arial" w:eastAsia="Arial" w:hAnsi="Arial"/>
          <w:sz w:val="17"/>
          <w:szCs w:val="17"/>
          <w:color w:val="auto"/>
        </w:rPr>
        <w:t xml:space="preserve"> Prior to the JV Sale, the Company held a 50% interest in the joint venture and based on management’s analysis, the Company was not the primary beneficiary of REV-I and accordingly, the entity was not consolidated in the Company's condensed consolidated financial statements.</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both the three and nine months ended September 30, 2026 and the three months ended September 30, 2025, the Company did not have an allocable share of REV-I losses due to the JV Sale. For the nine months ended September 30, 2025, the Company recorded its allocable share of REV-I's losses which totaled $0.9 million. These losses were recorded as a loss on investment in joint venture within the condensed consolidated statements of operations and comprehensive (loss) income. As of September 30, 2026 and December 31, 2025 there was no carrying value remaining of the REV-I investment due to the JV Sale in July 2025.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color w:val="auto"/>
        </w:rPr>
        <w:t xml:space="preserve">Purchase Commitments </w:t>
      </w:r>
      <w:r>
        <w:rPr>
          <w:rFonts w:ascii="Arial" w:cs="Arial" w:eastAsia="Arial" w:hAnsi="Arial"/>
          <w:sz w:val="18"/>
          <w:szCs w:val="18"/>
          <w:color w:val="auto"/>
        </w:rPr>
        <w:t>— The Company enters contracts in the normal course of business with contract research organizations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third-party vendors for clinical trials and testing and manufacturing services. These contracts generally do not contain minimum purchase commitments and are cancellable by the Company upon written notice. Payments that may be due upon cancellation consist of payments for services provided or expenses incurred prior to cancellation. As of September 30, 2026 and December 31, 2025, there were no amounts accrued related to termination charges.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(LOSS) INCOME PER COMMON SHARE</w:t>
      </w:r>
    </w:p>
    <w:p>
      <w:pPr>
        <w:spacing w:after="0" w:line="22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Basic and diluted net (loss) income per common share for the three and nine months ended September 30, 2026 and 2025 was calculated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6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THE THREE MONTHS ENDED</w:t>
            </w:r>
          </w:p>
        </w:tc>
        <w:tc>
          <w:tcPr>
            <w:tcW w:w="380" w:type="dxa"/>
            <w:vAlign w:val="bottom"/>
          </w:tcPr>
          <w:p>
            <w:pPr>
              <w:spacing w:after="0"/>
              <w:rPr>
                <w:sz w:val="15"/>
                <w:szCs w:val="15"/>
                <w:color w:val="auto"/>
              </w:rPr>
            </w:pPr>
          </w:p>
        </w:tc>
        <w:tc>
          <w:tcPr>
            <w:tcW w:w="312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FOR THE NINE MONTHS ENDED</w:t>
            </w:r>
          </w:p>
        </w:tc>
      </w:tr>
      <w:tr>
        <w:trPr>
          <w:trHeight w:val="205"/>
        </w:trPr>
        <w:tc>
          <w:tcPr>
            <w:tcW w:w="4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7"/>
                <w:szCs w:val="17"/>
                <w:color w:val="auto"/>
              </w:rPr>
            </w:pPr>
          </w:p>
        </w:tc>
      </w:tr>
      <w:tr>
        <w:trPr>
          <w:trHeight w:val="237"/>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2025</w:t>
            </w:r>
          </w:p>
        </w:tc>
      </w:tr>
      <w:tr>
        <w:trPr>
          <w:trHeight w:val="26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32,662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(3,126)</w:t>
            </w:r>
          </w:p>
        </w:tc>
      </w:tr>
      <w:tr>
        <w:trPr>
          <w:trHeight w:val="238"/>
        </w:trPr>
        <w:tc>
          <w:tcPr>
            <w:tcW w:w="4160" w:type="dxa"/>
            <w:vAlign w:val="bottom"/>
          </w:tcPr>
          <w:p>
            <w:pPr>
              <w:ind w:left="20"/>
              <w:spacing w:after="0"/>
              <w:rPr>
                <w:sz w:val="20"/>
                <w:szCs w:val="20"/>
                <w:color w:val="auto"/>
              </w:rPr>
            </w:pPr>
            <w:r>
              <w:rPr>
                <w:rFonts w:ascii="Arial" w:cs="Arial" w:eastAsia="Arial" w:hAnsi="Arial"/>
                <w:sz w:val="18"/>
                <w:szCs w:val="18"/>
                <w:color w:val="auto"/>
              </w:rPr>
              <w:t>Weighted-average number of common shares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9"/>
        </w:trPr>
        <w:tc>
          <w:tcPr>
            <w:tcW w:w="4160" w:type="dxa"/>
            <w:vAlign w:val="bottom"/>
          </w:tcPr>
          <w:p>
            <w:pPr>
              <w:ind w:left="180"/>
              <w:spacing w:after="0"/>
              <w:rPr>
                <w:sz w:val="20"/>
                <w:szCs w:val="20"/>
                <w:color w:val="auto"/>
              </w:rPr>
            </w:pPr>
            <w:r>
              <w:rPr>
                <w:rFonts w:ascii="Arial" w:cs="Arial" w:eastAsia="Arial" w:hAnsi="Arial"/>
                <w:sz w:val="18"/>
                <w:szCs w:val="18"/>
                <w:color w:val="auto"/>
              </w:rPr>
              <w:t>outstanding, basic</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5,715,048</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5,632,291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5,701,011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5,611,536</w:t>
            </w:r>
          </w:p>
        </w:tc>
      </w:tr>
      <w:tr>
        <w:trPr>
          <w:trHeight w:val="23"/>
        </w:trPr>
        <w:tc>
          <w:tcPr>
            <w:tcW w:w="4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potentially dilutive securities:</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61"/>
        </w:trPr>
        <w:tc>
          <w:tcPr>
            <w:tcW w:w="4160" w:type="dxa"/>
            <w:vAlign w:val="bottom"/>
          </w:tcPr>
          <w:p>
            <w:pPr>
              <w:ind w:left="24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70,245</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
        </w:trPr>
        <w:tc>
          <w:tcPr>
            <w:tcW w:w="4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4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Restricted stock units</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38"/>
        </w:trPr>
        <w:tc>
          <w:tcPr>
            <w:tcW w:w="4160" w:type="dxa"/>
            <w:vAlign w:val="bottom"/>
          </w:tcPr>
          <w:p>
            <w:pPr>
              <w:ind w:left="20"/>
              <w:spacing w:after="0"/>
              <w:rPr>
                <w:sz w:val="20"/>
                <w:szCs w:val="20"/>
                <w:color w:val="auto"/>
              </w:rPr>
            </w:pPr>
            <w:r>
              <w:rPr>
                <w:rFonts w:ascii="Arial" w:cs="Arial" w:eastAsia="Arial" w:hAnsi="Arial"/>
                <w:sz w:val="18"/>
                <w:szCs w:val="18"/>
                <w:color w:val="auto"/>
              </w:rPr>
              <w:t>Weighted-average number of common shares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9"/>
        </w:trPr>
        <w:tc>
          <w:tcPr>
            <w:tcW w:w="4160" w:type="dxa"/>
            <w:vAlign w:val="bottom"/>
          </w:tcPr>
          <w:p>
            <w:pPr>
              <w:ind w:left="180"/>
              <w:spacing w:after="0"/>
              <w:rPr>
                <w:sz w:val="20"/>
                <w:szCs w:val="20"/>
                <w:color w:val="auto"/>
              </w:rPr>
            </w:pPr>
            <w:r>
              <w:rPr>
                <w:rFonts w:ascii="Arial" w:cs="Arial" w:eastAsia="Arial" w:hAnsi="Arial"/>
                <w:sz w:val="18"/>
                <w:szCs w:val="18"/>
                <w:color w:val="auto"/>
              </w:rPr>
              <w:t>outstanding, diluted</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5,715,048</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5,632,291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5,788,752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5,611,536</w:t>
            </w:r>
          </w:p>
        </w:tc>
      </w:tr>
      <w:tr>
        <w:trPr>
          <w:trHeight w:val="23"/>
        </w:trPr>
        <w:tc>
          <w:tcPr>
            <w:tcW w:w="4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3"/>
        </w:trPr>
        <w:tc>
          <w:tcPr>
            <w:tcW w:w="4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61"/>
        </w:trPr>
        <w:tc>
          <w:tcPr>
            <w:tcW w:w="4160" w:type="dxa"/>
            <w:vAlign w:val="bottom"/>
          </w:tcPr>
          <w:p>
            <w:pPr>
              <w:ind w:left="20"/>
              <w:spacing w:after="0"/>
              <w:rPr>
                <w:sz w:val="20"/>
                <w:szCs w:val="20"/>
                <w:color w:val="auto"/>
              </w:rPr>
            </w:pPr>
            <w:r>
              <w:rPr>
                <w:rFonts w:ascii="Arial" w:cs="Arial" w:eastAsia="Arial" w:hAnsi="Arial"/>
                <w:sz w:val="18"/>
                <w:szCs w:val="18"/>
                <w:color w:val="auto"/>
              </w:rPr>
              <w:t>Net (loss) income per common share, 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(0.48)</w:t>
            </w:r>
          </w:p>
        </w:tc>
        <w:tc>
          <w:tcPr>
            <w:tcW w:w="80" w:type="dxa"/>
            <w:vAlign w:val="bottom"/>
          </w:tcPr>
          <w:p>
            <w:pPr>
              <w:spacing w:after="0"/>
              <w:rPr>
                <w:sz w:val="22"/>
                <w:szCs w:val="22"/>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2"/>
                <w:szCs w:val="22"/>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(0.56)</w:t>
            </w:r>
          </w:p>
        </w:tc>
      </w:tr>
      <w:tr>
        <w:trPr>
          <w:trHeight w:val="23"/>
        </w:trPr>
        <w:tc>
          <w:tcPr>
            <w:tcW w:w="4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1"/>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per common share, 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r>
      <w:tr>
        <w:trPr>
          <w:trHeight w:val="23"/>
        </w:trPr>
        <w:tc>
          <w:tcPr>
            <w:tcW w:w="4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Basic net (loss) income per share of common stock is based on the weighted-average number of shares of common stock outstanding during the period. Pre-funded warrants to purchase 416,673 shares of common stock that were issued in connection with the November 2022 follow-on offering are included in the weighted-average number of common shares outstanding for the three and nine months ended September 30, 2026 and 2025. The weighted-average number of common shares outstanding diluted for the three and nine months ended September 30, 2026 and 2025 excluded approximately 0.4 million and 0.8 million stock options and nonvested restricted stock awards and units, respectively, which were not dilutive.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defines its segments on the basis of the way in which internally reported financial information is regularly reviewed by the chief operating decision maker ("CODM") to analyze financial performance, make decisions, and allocate resources. The Company’s CODM consists of its Chief Executive Officer and Chief Financial Officer. The Company manages its operations as a single operating and reportable segment and the measure of segment profit or loss is net loss. The CODM uses net loss in the budget and forecasting process and considers budget-to-actual variances on a quarterly basis when making decisions about the allocation of operating and capital resources.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560"/>
        <w:spacing w:after="0" w:line="268" w:lineRule="auto"/>
        <w:rPr>
          <w:sz w:val="20"/>
          <w:szCs w:val="20"/>
          <w:color w:val="auto"/>
        </w:rPr>
      </w:pPr>
      <w:r>
        <w:rPr>
          <w:rFonts w:ascii="Arial" w:cs="Arial" w:eastAsia="Arial" w:hAnsi="Arial"/>
          <w:sz w:val="18"/>
          <w:szCs w:val="18"/>
          <w:color w:val="auto"/>
        </w:rPr>
        <w:t>The following table summarizes the information about reported segment revenues and significant segment expenses presented on the Company's condensed consolidated statements of operations and comprehensive (loss) income for the three and nine months ended September 30, 2026 and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5"/>
                <w:szCs w:val="15"/>
                <w:color w:val="auto"/>
              </w:rPr>
            </w:pPr>
          </w:p>
        </w:tc>
        <w:tc>
          <w:tcPr>
            <w:tcW w:w="282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FOR THE NINE MONTHS ENDED</w:t>
            </w:r>
          </w:p>
        </w:tc>
      </w:tr>
      <w:tr>
        <w:trPr>
          <w:trHeight w:val="205"/>
        </w:trPr>
        <w:tc>
          <w:tcPr>
            <w:tcW w:w="5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r>
      <w:tr>
        <w:trPr>
          <w:trHeight w:val="25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(in thousands)</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2025</w:t>
            </w:r>
          </w:p>
        </w:tc>
      </w:tr>
      <w:tr>
        <w:trPr>
          <w:trHeight w:val="261"/>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61"/>
        </w:trPr>
        <w:tc>
          <w:tcPr>
            <w:tcW w:w="5020" w:type="dxa"/>
            <w:vAlign w:val="bottom"/>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61"/>
        </w:trPr>
        <w:tc>
          <w:tcPr>
            <w:tcW w:w="5020" w:type="dxa"/>
            <w:vAlign w:val="bottom"/>
          </w:tcPr>
          <w:p>
            <w:pPr>
              <w:ind w:left="360"/>
              <w:spacing w:after="0"/>
              <w:rPr>
                <w:sz w:val="20"/>
                <w:szCs w:val="20"/>
                <w:color w:val="auto"/>
              </w:rPr>
            </w:pPr>
            <w:r>
              <w:rPr>
                <w:rFonts w:ascii="Arial" w:cs="Arial" w:eastAsia="Arial" w:hAnsi="Arial"/>
                <w:sz w:val="18"/>
                <w:szCs w:val="18"/>
                <w:color w:val="auto"/>
              </w:rPr>
              <w:t>RLYB212</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5,028</w:t>
            </w:r>
          </w:p>
        </w:tc>
      </w:tr>
      <w:tr>
        <w:trPr>
          <w:trHeight w:val="23"/>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RLYB116</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r>
      <w:tr>
        <w:trPr>
          <w:trHeight w:val="261"/>
        </w:trPr>
        <w:tc>
          <w:tcPr>
            <w:tcW w:w="5020" w:type="dxa"/>
            <w:vAlign w:val="bottom"/>
          </w:tcPr>
          <w:p>
            <w:pPr>
              <w:ind w:left="360"/>
              <w:spacing w:after="0"/>
              <w:rPr>
                <w:sz w:val="20"/>
                <w:szCs w:val="20"/>
                <w:color w:val="auto"/>
              </w:rPr>
            </w:pPr>
            <w:r>
              <w:rPr>
                <w:rFonts w:ascii="Arial" w:cs="Arial" w:eastAsia="Arial" w:hAnsi="Arial"/>
                <w:sz w:val="18"/>
                <w:szCs w:val="18"/>
                <w:color w:val="auto"/>
              </w:rPr>
              <w:t>Other program candidates</w:t>
            </w:r>
          </w:p>
        </w:tc>
        <w:tc>
          <w:tcPr>
            <w:tcW w:w="22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Personnel expenses (including share-based compensation)</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7,457</w:t>
            </w:r>
          </w:p>
        </w:tc>
      </w:tr>
      <w:tr>
        <w:trPr>
          <w:trHeight w:val="261"/>
        </w:trPr>
        <w:tc>
          <w:tcPr>
            <w:tcW w:w="5020" w:type="dxa"/>
            <w:vAlign w:val="bottom"/>
          </w:tcPr>
          <w:p>
            <w:pPr>
              <w:ind w:left="360"/>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579</w:t>
            </w:r>
          </w:p>
        </w:tc>
      </w:tr>
      <w:tr>
        <w:trPr>
          <w:trHeight w:val="23"/>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excluding personnel expenses</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9,714</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4,437</w:t>
            </w:r>
          </w:p>
        </w:tc>
      </w:tr>
      <w:tr>
        <w:trPr>
          <w:trHeight w:val="238"/>
        </w:trPr>
        <w:tc>
          <w:tcPr>
            <w:tcW w:w="5020" w:type="dxa"/>
            <w:vAlign w:val="bottom"/>
          </w:tcPr>
          <w:p>
            <w:pPr>
              <w:ind w:left="20"/>
              <w:spacing w:after="0"/>
              <w:rPr>
                <w:sz w:val="20"/>
                <w:szCs w:val="20"/>
                <w:color w:val="auto"/>
              </w:rPr>
            </w:pPr>
            <w:r>
              <w:rPr>
                <w:rFonts w:ascii="Arial" w:cs="Arial" w:eastAsia="Arial" w:hAnsi="Arial"/>
                <w:sz w:val="18"/>
                <w:szCs w:val="18"/>
                <w:color w:val="auto"/>
              </w:rPr>
              <w:t>General and administrative, personnel expenses (including</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9"/>
        </w:trPr>
        <w:tc>
          <w:tcPr>
            <w:tcW w:w="50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4,094</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6,909</w:t>
            </w:r>
          </w:p>
        </w:tc>
      </w:tr>
      <w:tr>
        <w:trPr>
          <w:trHeight w:val="23"/>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segment items*</w:t>
            </w: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(22,941)</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(50,471)</w:t>
            </w: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(23,526)</w:t>
            </w:r>
          </w:p>
        </w:tc>
      </w:tr>
      <w:tr>
        <w:trPr>
          <w:trHeight w:val="277"/>
        </w:trPr>
        <w:tc>
          <w:tcPr>
            <w:tcW w:w="5020" w:type="dxa"/>
            <w:vAlign w:val="bottom"/>
          </w:tcPr>
          <w:p>
            <w:pPr>
              <w:ind w:left="20"/>
              <w:spacing w:after="0"/>
              <w:rPr>
                <w:sz w:val="20"/>
                <w:szCs w:val="20"/>
                <w:color w:val="auto"/>
              </w:rPr>
            </w:pPr>
            <w:r>
              <w:rPr>
                <w:rFonts w:ascii="Arial" w:cs="Arial" w:eastAsia="Arial" w:hAnsi="Arial"/>
                <w:sz w:val="18"/>
                <w:szCs w:val="18"/>
                <w:color w:val="auto"/>
              </w:rPr>
              <w:t>Segment net (loss)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16,016</w:t>
            </w:r>
          </w:p>
        </w:tc>
        <w:tc>
          <w:tcPr>
            <w:tcW w:w="8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32,662</w:t>
            </w:r>
          </w:p>
        </w:tc>
        <w:tc>
          <w:tcPr>
            <w:tcW w:w="140" w:type="dxa"/>
            <w:vAlign w:val="bottom"/>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(3,126)</w:t>
            </w:r>
          </w:p>
        </w:tc>
      </w:tr>
      <w:tr>
        <w:trPr>
          <w:trHeight w:val="21"/>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*Other segment items include total other income, net, inclusive of the $50 million termination fee related to the Candid Merger Agreement, income tax expense, and loss on investment in joint venture.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 AND SEVERANCE</w:t>
      </w:r>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connection with entering into the Candid Merger Agreement in the first quarter of 2026, the Company incurred severance charges of approximately $2.3 million of which $1.6 million was included in research and development expenses and $0.7 million was included in general and administrative expenses, with such amounts reflected in the condensed consolidated statements of operations and comprehensive (loss) income. The charges related to the Merger Agreement were cash-based expenditures related primarily to severance and benefit payments. The Company recognized all such charges during the first quarter of 2026, with such amounts reflected in the condensed consolidated statements of operations and comprehensive (loss) income. The accrued severance liability is included in accrued expenses in the condensed consolidated balance sheets as of September 30, 2026.</w:t>
      </w:r>
    </w:p>
    <w:p>
      <w:pPr>
        <w:spacing w:after="0" w:line="183"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On May 2, 2025, the Company approved a workforce reduction to focus resources on the Company’s lead program, RLYB116, and its preclinical development programs.</w:t>
      </w:r>
    </w:p>
    <w:p>
      <w:pPr>
        <w:spacing w:after="0" w:line="15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part of this effort, the Company eliminated approximately 40% of its positions. As a result of these actions, the Company incurred charges of approximately $1.7 million of which $1.2 million was included in research and development expenses and $0.5 million was included in general and administrative expenses, with such amounts reflected in the condensed consolidated statements of operations and comprehensive (loss) income. The charges related to the workforce reduction were cash-based expenditures related primarily to severance and benefit payments. The Company recognized all such charges during the second quarter of 2025, with such amounts reflected in the condensed consolidated statements of operations and comprehensive (loss) income.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All restructuring and severance payments related to the Candid Merger Agreement are expected to be paid within the next 12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restructuring and severance accrual activity as of September 30, 2026:</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SEPTEMBER 30, 2026</w:t>
            </w:r>
          </w:p>
        </w:tc>
      </w:tr>
      <w:tr>
        <w:trPr>
          <w:trHeight w:val="263"/>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accrued severance as of January 1, 2026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61"/>
        </w:trPr>
        <w:tc>
          <w:tcPr>
            <w:tcW w:w="9180" w:type="dxa"/>
            <w:vAlign w:val="bottom"/>
          </w:tcPr>
          <w:p>
            <w:pPr>
              <w:ind w:left="20"/>
              <w:spacing w:after="0"/>
              <w:rPr>
                <w:sz w:val="20"/>
                <w:szCs w:val="20"/>
                <w:color w:val="auto"/>
              </w:rPr>
            </w:pPr>
            <w:r>
              <w:rPr>
                <w:rFonts w:ascii="Arial" w:cs="Arial" w:eastAsia="Arial" w:hAnsi="Arial"/>
                <w:sz w:val="18"/>
                <w:szCs w:val="18"/>
                <w:color w:val="auto"/>
              </w:rPr>
              <w:t>Severance incurred during the period</w:t>
            </w:r>
          </w:p>
        </w:tc>
        <w:tc>
          <w:tcPr>
            <w:tcW w:w="2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2,302</w:t>
            </w:r>
          </w:p>
        </w:tc>
      </w:tr>
      <w:tr>
        <w:trPr>
          <w:trHeight w:val="23"/>
        </w:trPr>
        <w:tc>
          <w:tcPr>
            <w:tcW w:w="9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83"/>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paid and adjustments made during the period</w:t>
            </w:r>
          </w:p>
        </w:tc>
        <w:tc>
          <w:tcPr>
            <w:tcW w:w="20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r>
      <w:tr>
        <w:trPr>
          <w:trHeight w:val="277"/>
        </w:trPr>
        <w:tc>
          <w:tcPr>
            <w:tcW w:w="9180" w:type="dxa"/>
            <w:vAlign w:val="bottom"/>
          </w:tcPr>
          <w:p>
            <w:pPr>
              <w:ind w:left="20"/>
              <w:spacing w:after="0"/>
              <w:rPr>
                <w:sz w:val="20"/>
                <w:szCs w:val="20"/>
                <w:color w:val="auto"/>
              </w:rPr>
            </w:pPr>
            <w:r>
              <w:rPr>
                <w:rFonts w:ascii="Arial" w:cs="Arial" w:eastAsia="Arial" w:hAnsi="Arial"/>
                <w:sz w:val="18"/>
                <w:szCs w:val="18"/>
                <w:color w:val="auto"/>
              </w:rPr>
              <w:t>Ending accrued severance as of September 30, 2026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w:t>
            </w:r>
          </w:p>
        </w:tc>
      </w:tr>
      <w:tr>
        <w:trPr>
          <w:trHeight w:val="20"/>
        </w:trPr>
        <w:tc>
          <w:tcPr>
            <w:tcW w:w="9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COLLABORATION AND LICENSE AGREEMENTS`</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April 2024, the Company entered into a two-year collaboration agreement (the "J&amp;J Collaboration Agreement"), with Johnson &amp; Johnson ("J&amp;J") through its wholly-owned subsidiary, Momenta Pharmaceuticals, Inc. to facilitate the advancement of research into products to address unmet needs relating to FNAIT.</w:t>
      </w:r>
    </w:p>
    <w:p>
      <w:pPr>
        <w:spacing w:after="0" w:line="171" w:lineRule="exact"/>
        <w:rPr>
          <w:sz w:val="20"/>
          <w:szCs w:val="20"/>
          <w:color w:val="auto"/>
        </w:rPr>
      </w:pPr>
    </w:p>
    <w:p>
      <w:pPr>
        <w:ind w:right="500"/>
        <w:spacing w:after="0" w:line="318" w:lineRule="auto"/>
        <w:rPr>
          <w:sz w:val="20"/>
          <w:szCs w:val="20"/>
          <w:color w:val="auto"/>
        </w:rPr>
      </w:pPr>
      <w:r>
        <w:rPr>
          <w:rFonts w:ascii="Arial" w:cs="Arial" w:eastAsia="Arial" w:hAnsi="Arial"/>
          <w:sz w:val="17"/>
          <w:szCs w:val="17"/>
          <w:color w:val="auto"/>
        </w:rPr>
        <w:t>In April 2025, the Company announced that RLYB212 Phase 2 PK results did not achieve target concentrations, including the minimum target concentration required for efficacy, and that the Company would discontinue its RLYB212 program for the prevention of FNAIT.</w:t>
      </w:r>
    </w:p>
    <w:p>
      <w:pPr>
        <w:spacing w:after="0" w:line="13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Pursuant to the J&amp;J Collaboration Agreement, the Company received an upfront payment of $0.5 million from J&amp;J for the information dissemination and data provision services under the agreement. The J&amp;J Collaboration Agreement provides that the Company is eligible for payments upon the achievement of certain screening-related events, however, the Company has discontinued screening and enrollment in both the FNAIT natural history study and the RLYB212 Phase 2 clinical trial.</w:t>
      </w:r>
    </w:p>
    <w:p>
      <w:pPr>
        <w:spacing w:after="0" w:line="176"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 xml:space="preserve">The Company evaluated the agreement and determined it was within the scope of ASC 606,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606"). The Company determined there were performance obligations as follows:</w:t>
      </w:r>
    </w:p>
    <w:p>
      <w:pPr>
        <w:spacing w:after="0" w:line="180" w:lineRule="exact"/>
        <w:rPr>
          <w:sz w:val="20"/>
          <w:szCs w:val="20"/>
          <w:color w:val="auto"/>
        </w:rPr>
      </w:pPr>
    </w:p>
    <w:p>
      <w:pPr>
        <w:ind w:left="660" w:right="60" w:hanging="4"/>
        <w:spacing w:after="0" w:line="268" w:lineRule="auto"/>
        <w:tabs>
          <w:tab w:leader="none" w:pos="93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Data collection and submission revenue – derived from Rallybio’s ongoing management of the studies including the maintenance of a minimum site footprint, the license to utilize, and timely, semi-annual submission of the anonymized data, in the required formats.</w:t>
      </w:r>
    </w:p>
    <w:p>
      <w:pPr>
        <w:spacing w:after="0" w:line="197" w:lineRule="exact"/>
        <w:rPr>
          <w:rFonts w:ascii="Arial" w:cs="Arial" w:eastAsia="Arial" w:hAnsi="Arial"/>
          <w:sz w:val="18"/>
          <w:szCs w:val="18"/>
          <w:color w:val="auto"/>
        </w:rPr>
      </w:pPr>
    </w:p>
    <w:p>
      <w:pPr>
        <w:jc w:val="both"/>
        <w:ind w:left="660" w:right="100" w:hanging="4"/>
        <w:spacing w:after="0" w:line="262" w:lineRule="auto"/>
        <w:tabs>
          <w:tab w:leader="none" w:pos="93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Dissemination of J&amp;J materials &amp; participant revenue – derived from Rallybio’s dissemination of content, information or materials related to the J&amp;J-Sponsored Studies that are developed by J&amp;J and are provided by Rallybio for the purpose of disseminating such content, information, or materials to staff at Rallybio study sites to provide to potential eligible participants regarding J&amp;J’s independent study.</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April 2024, the Company also entered into a securities purchase agreement ("JJDC Securities Purchase Agreement") with Johnson &amp; Johnson Innovation – JJDC, Inc. (“JJDC”). Under the terms of the JJDC Securities Purchase Agreement, JJDC purchased 454,545 shares of the Company's common stock with a par value of $0.0001 per share for a share purchase price of $14.56 per share which included a 10% premium on the then-current market price, for an aggregate purchase price of $6.6 million. The JJDC Securities Purchase Agreement contains provisions related to the registration of the shares and the restriction on the sale or transfer of the shares for a period of time. The Company determined the J&amp;J Collaboration Agreement and the JJDC Securities Purchase Agreement represented combined agreements. In accordance with ASC 606 and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total consideration of $1.2 million for the shares of common stock from the JJDC Securities Purchase Agreement, which represents the premium of $0.7 million and discount for lack of marketability of $0.5 million, has been allocated to revenue and was recognized over the two-year expected performance period.</w:t>
      </w:r>
    </w:p>
    <w:p>
      <w:pPr>
        <w:spacing w:after="0" w:line="18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Company valued the common stock issued to JJDC, in connection with the JJDC Securities Purchase Agreement at fair value. The resulting fair value of $5.4 million was determined by applying the discount due to lack of marketability during the registration and lock-up period to the public trading price of the common stock, which is a Level 1 input, on the date of sale. The Company determined the value of the lack of marketability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during the registration and lock-up period by utilizing put option models, which are considered Level 3 inputs. Such option models included the Company’s historical volatility of 113.2% and the risk-free rate of 5.28% based on U.S. Treasury bond rates, as key inputs.</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recognized no revenue during the three months ended September 30, 2026 and recognized revenue of $0.2 million during the nine months ended September 30, 2026. During the three and nine months ended September 30, 2025 the Company recognized $0.2 million and $0.6 million, respectively, related to data collection and data submission with the identified performance obligations, and the premium and discount allocated to revenue from the sale of the common stock to JJDC. As of September 30, 2026, all revenue was recognized due to the performance obligations being satisfied. On April 9, 2026, the J&amp;J Collaboration Agreement terminated upon completion of the initial term of the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determined that the J&amp;J Collaboration Agreement is not in the scope of ASC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related notes appearing elsewhere in this Quarterly Report on Form 10-Q and our audited consolidated financial statements and related notes included in our Annual Report on Form 10-K for the year ended December 31, 2025 (our "Annual Report").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section entitled “Risk Factors" in Part II, Item 1A of this Quarterly Report on Form 10-Q, our actual results could differ materially from the results described in or implied by the forward-looking statements contained in the following discussion and analysis. See “Cautionary Note Regarding Forward-Looking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a clinical-stage biotechnology company comprised of experienced biopharma industry leaders with extensive research, development, and rare disease expertise with a mission to develop and commercialize life-transforming therapies for patients with severe and rare diseases. Our lead program, RLYB116, is a differentiated complement component 5 ("C5") inhibitor with the potential to treat diseases of complement dysregulation. In addition, RLYB332, a long-acting matriptase-2 ("MTP-2") antibody for the treatment of diseases of iron overload is currently in preclinical development.</w:t>
      </w:r>
    </w:p>
    <w:p>
      <w:pPr>
        <w:spacing w:after="0" w:line="21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March 1, 2026, Rallybio Corporation and subsidiaries ("Rallybio", the "Company", "we", "our", or "us") entered into an Agreement and Plan of Merger and Reorganization with Candid Therapeutics, Inc ("Candid") (the "Candid Merger Agreement") pursuant to which the parties intended to undertake a business combination (the "Candid Merger").</w:t>
      </w:r>
    </w:p>
    <w:p>
      <w:pPr>
        <w:spacing w:after="0" w:line="19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On May 3, 2026, Candid terminated the Candid Merger Agreement concurrently with entering into a Permitted Alternative Agreement (as defined in the Candid Merger Agreement) with UCB S.A. (“UCB”). As a result of the termination of the Candid Merger Agreement, we were paid on May 4, 2026 a $50.0 million Parent Termination Fee (as defined in the Candid Merger Agreement) and were reimbursed $0.4 million for certain expenses.</w:t>
      </w:r>
    </w:p>
    <w:p>
      <w:pPr>
        <w:spacing w:after="0" w:line="190"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Following termination of the Candid Merger Agreement, Rallybio restarted the evaluation of strategic alternatives. On May 31, 2026, Rallybio entered into an Agreement and Plan of Merger and Reorganization (the “Merger Agreement”) with Avenzo Therapeutics, Inc.(“Avenzo”), a clinical-stage biotechnology company developing next-generation oncology therapies, pursuant to which, among other matters, Farmington Merger Sub, Inc., a Delaware corporation and wholly owned subsidiary of Rallybio (“Merger Sub”), will merge with and into Avenzo with Avenzo surviving as a wholly owned subsidiary of Rallybio (such transaction, the “Merger”). In connection with the Merger, Rallybio will change its name to Avenzo Therapeutics, Inc. (together with its subsidiaries following the Merger, the “combined company”). The Merger is</w:t>
      </w:r>
    </w:p>
    <w:p>
      <w:pPr>
        <w:spacing w:after="0" w:line="2"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intended to qualify as a tax-free reorganization for U.S. federal income tax purposes. The Merger will become effective at the time the Certificate of Merger has been duly filed with the Secretary of State of the State of Delaware or such other date and time as is agreed upon</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by Rallybio and Avenzo and specified in the Certificate of Merger in accordance with the General Corporation Law of the State of Delaware (“DGCL”) (such date, the “Closing Date,” and such time, the “Effective Time”).</w:t>
      </w:r>
    </w:p>
    <w:p>
      <w:pPr>
        <w:spacing w:after="0" w:line="2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Merger, Avenzo entered into a subscription agreement (the “Subscription Agreement”) with certain investors, pursuant to which Avenzo has agreed to sell, and such investors have agreed to purchase, shares of Avenzo Common Stock for an aggregate purchase price of $215.0 million, immediately prior to the Effective Time (such transaction, the “Concurrent Financing”). The closing of the Concurrent Financing is conditioned upon the satisfaction or waiver of each of the conditions to the closing of the Merger (the “Closing”) as well as certain other conditions.</w:t>
      </w:r>
    </w:p>
    <w:p>
      <w:pPr>
        <w:spacing w:after="0" w:line="20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Subject to the terms and conditions of the Merger Agreement, at the Effective Time, (a) each then-outstanding share of common stock or preferred stock of Avenzo (each such share, an “Avenzo Share”) (excluding any share described in clauses (b) or (c) below and Avenzo Shares held by stockholders who have exercised and perfected appraisal rights for such shares) will be converted into the right to receive a number of shares of Rallybio common stock, calculated in accordance with the Exchange Ratio as set forth in the Merger Agreement, (b) each Avenzo Share issued in the Concurrent Financing will be converted into the right to receive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number of shares of Rallybio common stock calculated in accordance with the Merger Agreement, (c) any Avenzo Shares held as treasury shares or held or owned by Rallybio, Merger Sub or any subsidiary of Rallybio or Avenzo immediately prior to the Effective Time will be canceled and shall cease to exist, and no consideration shall be delivered in exchange therefor. Each then -outstanding option to purchase Avenzo Shares will be converted into an option to purchase Rallybio common stock, subject to adjustment as set forth in the Merger Agreement.</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the Exchange Ratio formula in the Merger Agreement, upon the Closing, on a pro forma basis and based upon the number of shares of Rallybio common stock expected to be issued in connection with the Merger and the Concurrent Financing, pre-Merger equityholders of Avenzo (other than investors in the Concurrent Financing) are expected to own approximately 56.6% of the combined company, pre-Merger equityholders of Rallybio will own approximately 2.8% of the combined company and the investors in the Concurrent Financing are expected to own approximately 40.6% (assuming gross proceeds from the Concurrent Financing of $215.0 million), in each case, calculated on a fully diluted basis, using the treasury stock method, and subject to certain assumptions, including (i) a valuation for Rallybio of $15.0 million (calculated after giving effect to the expected payment of the distribution of Rallybio's pre Closing cash), (ii) a valuation for Avenzo of $300.0 million, and (iii) the relative capitalization of Rallybio and Avenzo. The percentage of the combined company that each party’s equityholders will own following the Closing is subject to certain adjustments as described in the Merger Agreement, including the amount of the final Rallybio Net Cash (as defined in the Merger Agreement) at Closing. At any time prior to the Closing, Rallybio will declare distributions (each a “Rallybio Distribution”) of Rallybio Net Cash to holders of Rallybio common stock and, if applicable, securities convertible into or exchangeable or exercisable for shares of Rallybio common stock outstanding as of the applicable record date, subject to the terms of the Merger Agreement.</w:t>
      </w:r>
    </w:p>
    <w:p>
      <w:pPr>
        <w:spacing w:after="0" w:line="21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One business day following the Closing Date, the combined company and Computershare Trust Company, N.A. (the “Rights Agent”) are expected to enter into a Contingent Value Rights Agreement (the “Rallybio CVR Agreement”), pursuant to which holders of record of certain Rallybio securities as of the close of business on the last business day prior to the Closing Date will receive one contingent value right (each, a “Rallybio CVR”) for each outstanding share of Rallybio common stock, pre-funded warrant, Rallybio restricted stock unit or In the Money Parent Option (as defined in the Merger Agreement) held as of such date. Pursuant to the Rallybio CVR Agreement, each Rallybio CVR holder will be entitled to receive their pro rata share of all of the net proceeds (including cash or the value of stock to the extent listed on a national exchange, at the time of disposition), if any, received by Rallybio as a result of payments (“Rallybio CVR Payments”) made to Rallybio of (i) any upfront, milestone, royalty and other payments received under any disposition agreement related to Rallybio’s pre-Merger assets (the “Legacy Assets”), and (ii) all of the cash proceeds, if any, received from Recursion Pharmaceuticals, Inc. ("Recursion") under the Membership Interest Purchase Agreement, dated July 8, 2025, by and among Recursion, Exscientia Ventures I, Inc., Rallybio and Rallybio IPB, LLC (the “ENPP1 Purchase Agreement”). For a period of four months after the Closing Date, Rallybio will use commercially reasonable efforts to effect the disposition of the Legacy Assets with respect to a third party that Rallybio had been in discussions with regarding a disposition prior to the Closing Date, subject to certain limitations. Such net proceeds will be subject to certain permitted deductions, including for applicable tax payments, certain expenses incurred or other liabilities borne by Rallybio or its affiliates in respect of the Legacy Assets, and losses incurred by Rallybio or its affiliates due to a third-party proceeding in connection with such disposition.</w:t>
      </w:r>
    </w:p>
    <w:p>
      <w:pPr>
        <w:spacing w:after="0" w:line="21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We completed a confirmatory pharmacokinetic ("PK") and pharmacodynamic ("PD") study of RLYB116 in healthy volunteers in 2025 and reported data in the first quarter of 2026.</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July 2025, we entered into the ENPP1 Purchase Agreement to sell our interest in REV102, an Ectonucleotide Pyrophosphatase/Phosphodiesterase 1 ("ENPP1") inhibitor in preclinical development for the treatment of patients with hypophosphatasia ("HPP"), to Buyer (a subsidiary of our joint venture partner Recursion) (the "JV Sale"). In connection with the JV Sale, we received a total of $20.0 million in the third quarter of 2025 including $7.5 million from an upfront payment and $12.5 million from a milestone payment related to the initiation of additional preclinical studies. We are eligible to receive a $5.0 million milestone payment in connection with the initiation of dosing in a Phase 1 clinical study, as defined in the ENPP1 Purchase Agreement and low single-digit royalties on all future net sales by Recursion of products comprising or incorporating certain compounds developed by RE Ventures I, LLC, a limited liability company (“REV-I”). We may also be eligible to receive certain payments in the event of Recursion’s sale of the REV102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April 2025, we announced the discontinuation of our RLYB212 program for the prevention of fetal and neonatal alloimmune thrombocytopenia ("FNAIT") based on PK data from the Phase 2 clinical trial that demonstrated an inability of the RLYB212 dose regimen to achieve predicted target concentrations, as well as the minimum target concentration required for efficacy.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Complement Dysregulation</w:t>
      </w:r>
    </w:p>
    <w:p>
      <w:pPr>
        <w:spacing w:after="0" w:line="1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RLYB116 is an innovative, once-weekly, small volume, subcutaneously injected inhibitor of C5 in development for the treatment of patients with complement-related diseases. We have completed two Phase 1 clinical trials in healthy participants that included the study of RLYB116 as both a single-ascending dose and a multiple-ascending dose. After the first Phase 1 clinical trial, we completed manufacturing process enhancements that were designed to improve the tolerability of RLYB116. In 2025, we completed the confirmatory Phase 1 clinical trial evaluating the PK/PD properties of RLYB116. The confirmatory trial achieved its two key objectives including: a significant improvement in the tolerability of RLYB116 and demonstration of complete and sustained inhibition of terminal complement. These results, which we reported in the first quarter of 2026, support the study of RLYB116 as a potential best-in-class therapeutic for multiple complement mediated diseases.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Hematological Disorders</w:t>
      </w:r>
    </w:p>
    <w:p>
      <w:pPr>
        <w:spacing w:after="0" w:line="2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May 2022, we obtained worldwide exclusive rights to RLYB331, a preclinical, monoclonal antibody that is designed to inhibit MTP-2. The inhibition of MTP-2 significantly increases levels of hepcidin, decreases iron load and treats ineffective erythropoiesis. In 2024, we re-engineered RLYB331 to extend its half-life and completed non-clinical studies that demonstrated favorable tolerability, dose-dependent PK, and sustained PD effects with RLYB332, a long-acting version of RLYB331. These findings, which were presented in a poster at the 66th annual meeting of the American Society of Hematology, support the continued development of RLYB332 as a potentially best-in-class therapeutic for treating diseases of iron overload.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Since inception, we have devoted substantially all of our resources to raising capital, organizing and staffing the Company, business planning, conducting discovery and research activities, acquiring or discovering product candidates, establishing and protecting our intellectual property portfolio, developing and progressing our product candidates, preparing for and conducting clinical trials and establishing arrangements with third parties for the manufacture of our product candidates and component materials, including activities relating to our preclinical development and manufacturing activities for each of our programs. We do not have any product candidates approved for sale and have not generated any revenue from product sales.</w:t>
      </w:r>
    </w:p>
    <w:p>
      <w:pPr>
        <w:spacing w:after="0" w:line="2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our inception, we have funded our operations primarily through equity financings. From our inception and prior to our initial public offering ("IPO"), we received proceeds of approximately $182.5 million from equity financings. In August 2021, we closed our IPO and issued and sold 891,250 shares of common stock, inclusive of 116,250 shares sold pursuant to the full exercise of the underwriters’ option to purchase additional shares, at a public offering price of $104.00 per share. We received net proceeds of approximately $83.0 million, after deducting underwriting discounts and commissions and other offering costs.</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November 2022, we completed a follow-on offering of approximately $ 54.8 million pursuant to which we issued 725,456 shares of common stock, inclusive of 100,456 shares of common stock sold pursuant to the partial exercise of the underwriters' option to purchase additional shares at a price of $ 48.00 per share and to certain investors in lieu of common stock, pre-funded warrants to purchase up to an aggregate of 416,673 shares of common stock at a price of $47.9992, which represents the per share public offering price for the shares less the $0.0008 per share exercise price for each pre-funded warrant. The net proceeds from the November 2022 follow-on offering were approximately $50.8 million, after deducting underwriting discounts and commissions and other offering costs.</w:t>
      </w:r>
    </w:p>
    <w:p>
      <w:pPr>
        <w:spacing w:after="0" w:line="20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April 2024, we entered into a securities purchase agreement (the "JJDC Securities Purchase Agreement") with Johnson &amp; Johnson Innovation – JJDC, Inc. ("JJDC"), pursuant to which we sold to JJDC, in an unregistered offering, 454,545 shares of our common stock at a price of $14.56 per share, which represented a 10% premium on our closing stock price on April 9, 2024, for aggregate gross proceeds of approximately $6.6 million, before deducting offering expenses. We agreed, among other things, to file with the Securities and Exchange Commission (the "SEC") a registration statement covering the resale of the shares, which we filed on May 10,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July 2025, we announced that we had entered into the ENPP1 Purchase Agreement to sell our interest in REV102, an ENPP1 inhibitor in preclinical development for the treatment of patients with HPP, to Buyer (a subsidiary of our joint venture partner Recursion). In connection with the JV Sale, we received a total of $ 20.0 million in the third quarter of 2025 including $7.5 million from an upfront payment and $12.5 million from a milestone payment related to the initiation of additional preclinical studies. We are eligible to receive a $5.0 million milestone cash payment in connection with the initiation of dosing in a Phase 1 clinical study, as defined in the ENPP1 Purchase Agreement and low single-digit royalties on all future net sales by Recursion of products comprising or incorporating certain compounds developed by REV-I. We may also be eligible to receive certain payments in the event of Recursion’s sale of the REV102 program.</w:t>
      </w:r>
    </w:p>
    <w:p>
      <w:pPr>
        <w:spacing w:after="0" w:line="21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September 30, 2026, we had cash and cash equivalents of $90.7 million. We believe that our existing cash and cash equivalents will be sufficient to fund our operating expenses and capital expenditure requirements for at least 12 months beyond the filing of this Quarterly Report on Form 10-Q, although we anticipate that the Merger will close prior to the end of 2026. See “—Liquidity and Capital Resources.”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incurred significant operating losses since inception, including operating losses of $3.4 million and $6.9 million for the three months ended September 30, 2026 and 2025, respectively and $17.8 million and $26.7 million for the nine months ended September 30, 2026 and 2025, respectively. The increase in total other income of $27.5 million was a result of the termination of the Candid Merger Agreement on May 4, 2026 and payment of the related termination fee, offset by other income from the gain on sale of the JV in July 2025. As of September 30, 2026, we had an accumulated deficit of $269.3 million. These losses have resulted primarily from costs incurred in connection with research and development activities and general and administrative costs associated with our operations. We have not commercialized any products and have never generated revenue from the commercialization of any product. There can be no assurances, however, that additional funding will be available on terms acceptable to us, or at all.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do not have any product candidates approved for sale and have not generated any revenue from product sales. In April 2024, we entered into a two-year collaboration agreement (the "J&amp;J Collaboration Agreement") with Johnson &amp; Johnson ("J&amp;J"), through its wholly-owned subsidiary, Momenta Pharmaceuticals, Inc. Our collaboration and license revenue to date is related to data collection and data submission performance obligations pursuant to the two-year J&amp;J Collaboration Agreement to facilitate the advancement of research into products to address unmet needs relating to FNAIT. Pursuant to the J&amp;J Collaboration Agreement, we received an upfront payment of $0.5 million from J&amp;J for the information dissemination and data provision services under the agreement. We were also eligible to receive additional payments upon certain triggers related to the companies' FNAIT studies, however, in connection with our decision in April 2025 to discontinue development of RLYB212, we do not expect payments regarding the achievement of certain enrollment-related events.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determined there were performance obligations as follows:</w:t>
      </w:r>
    </w:p>
    <w:p>
      <w:pPr>
        <w:spacing w:after="0" w:line="252" w:lineRule="exact"/>
        <w:rPr>
          <w:sz w:val="20"/>
          <w:szCs w:val="20"/>
          <w:color w:val="auto"/>
        </w:rPr>
      </w:pPr>
    </w:p>
    <w:p>
      <w:pPr>
        <w:ind w:left="660" w:right="60" w:hanging="4"/>
        <w:spacing w:after="0" w:line="268" w:lineRule="auto"/>
        <w:tabs>
          <w:tab w:leader="none" w:pos="93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Data collection and submission revenue – derived from Rallybio’s ongoing management of the studies including the maintenance of a minimum site footprint, the license to utilize, and timely, semi-annual submission of the anonymized data, in the required formats.</w:t>
      </w:r>
    </w:p>
    <w:p>
      <w:pPr>
        <w:spacing w:after="0" w:line="197" w:lineRule="exact"/>
        <w:rPr>
          <w:rFonts w:ascii="Arial" w:cs="Arial" w:eastAsia="Arial" w:hAnsi="Arial"/>
          <w:sz w:val="18"/>
          <w:szCs w:val="18"/>
          <w:color w:val="auto"/>
        </w:rPr>
      </w:pPr>
    </w:p>
    <w:p>
      <w:pPr>
        <w:jc w:val="both"/>
        <w:ind w:left="660" w:right="100" w:hanging="4"/>
        <w:spacing w:after="0" w:line="262" w:lineRule="auto"/>
        <w:tabs>
          <w:tab w:leader="none" w:pos="93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Dissemination of J&amp;J materials &amp; participant revenue – derived from Rallybio’s dissemination of content, information or materials related to the J&amp;J-Sponsored Studies that are developed by J&amp;J and are provided by Rallybio for the purpose of disseminating such content, information, or materials to staff at Rallybio study sites to provide to potential eligible participants regarding J&amp;J’s independent study.</w:t>
      </w:r>
    </w:p>
    <w:p>
      <w:pPr>
        <w:spacing w:after="0" w:line="2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determined the J&amp;J Collaboration Agreement and JJDC Securities Purchase Agreement represented combined agreements. In accordance with Accounting Standards Codification 606,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and Accounting Standards Codification Topic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total consideration of $1.2 million for the shares of common stock from the JJDC Securities Purchase Agreement,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the premium of $0.7 million and discount for lack of marketability of $0.5 million, has been allocated to revenue and was recognized over the two-year expected performance period. As of September 30, 2026, all revenue was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recognized due to the performance obligations being satisfied. On April 9, 2026, the J&amp;J Collaboration Agreement terminated upon completion of the initial term of the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9" w:lineRule="exact"/>
        <w:rPr>
          <w:sz w:val="20"/>
          <w:szCs w:val="20"/>
          <w:color w:val="auto"/>
        </w:rPr>
      </w:pPr>
    </w:p>
    <w:p>
      <w:pPr>
        <w:jc w:val="both"/>
        <w:ind w:right="400"/>
        <w:spacing w:after="0" w:line="258" w:lineRule="auto"/>
        <w:rPr>
          <w:sz w:val="20"/>
          <w:szCs w:val="20"/>
          <w:color w:val="auto"/>
        </w:rPr>
      </w:pPr>
      <w:r>
        <w:rPr>
          <w:rFonts w:ascii="Arial" w:cs="Arial" w:eastAsia="Arial" w:hAnsi="Arial"/>
          <w:sz w:val="18"/>
          <w:szCs w:val="18"/>
          <w:color w:val="auto"/>
        </w:rPr>
        <w:t>Research and development expenses consist of costs incurred in connection with our research and development activities, including our drug discovery efforts and the development of our product candidates. We expense research and development costs as incurred, which include:</w:t>
      </w:r>
    </w:p>
    <w:p>
      <w:pPr>
        <w:spacing w:after="0" w:line="70" w:lineRule="exact"/>
        <w:rPr>
          <w:sz w:val="20"/>
          <w:szCs w:val="20"/>
          <w:color w:val="auto"/>
        </w:rPr>
      </w:pPr>
    </w:p>
    <w:p>
      <w:pPr>
        <w:ind w:left="660" w:right="100" w:hanging="328"/>
        <w:spacing w:after="0" w:line="318" w:lineRule="auto"/>
        <w:tabs>
          <w:tab w:leader="none" w:pos="656"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agreements with third parties, such as contract research organizations ("CROs") as well as investigative sites and consultants that conduct our clinical trials and other scientific development services;</w:t>
      </w:r>
    </w:p>
    <w:p>
      <w:pPr>
        <w:spacing w:after="0" w:line="21" w:lineRule="exact"/>
        <w:rPr>
          <w:rFonts w:ascii="Arial" w:cs="Arial" w:eastAsia="Arial" w:hAnsi="Arial"/>
          <w:sz w:val="17"/>
          <w:szCs w:val="17"/>
          <w:color w:val="auto"/>
        </w:rPr>
      </w:pPr>
    </w:p>
    <w:p>
      <w:pPr>
        <w:ind w:left="660" w:right="120" w:hanging="328"/>
        <w:spacing w:after="0" w:line="286" w:lineRule="auto"/>
        <w:tabs>
          <w:tab w:leader="none" w:pos="656"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manufacturing material for our clinical trials, including expenses related to the manufacturing scale-up and fees paid to contract manufacturing organizations ("CMOs");</w:t>
      </w:r>
    </w:p>
    <w:p>
      <w:pPr>
        <w:spacing w:after="0" w:line="45" w:lineRule="exact"/>
        <w:rPr>
          <w:rFonts w:ascii="Times New Roman" w:cs="Times New Roman" w:eastAsia="Times New Roman" w:hAnsi="Times New Roman"/>
          <w:sz w:val="18"/>
          <w:szCs w:val="18"/>
          <w:color w:val="auto"/>
        </w:rPr>
      </w:pPr>
    </w:p>
    <w:p>
      <w:pPr>
        <w:ind w:left="660" w:right="480" w:hanging="328"/>
        <w:spacing w:after="0" w:line="286" w:lineRule="auto"/>
        <w:tabs>
          <w:tab w:leader="none" w:pos="656"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including salaries, bonuses, benefits, share-based compensation and other related costs for those employees involved in research and development efforts;</w:t>
      </w:r>
    </w:p>
    <w:p>
      <w:pPr>
        <w:spacing w:after="0" w:line="4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costs of outside consultants, including their fees, and related travel expenses;</w:t>
      </w:r>
    </w:p>
    <w:p>
      <w:pPr>
        <w:spacing w:after="0" w:line="116" w:lineRule="exact"/>
        <w:rPr>
          <w:rFonts w:ascii="Times New Roman" w:cs="Times New Roman" w:eastAsia="Times New Roman" w:hAnsi="Times New Roman"/>
          <w:sz w:val="18"/>
          <w:szCs w:val="18"/>
          <w:color w:val="auto"/>
        </w:rPr>
      </w:pPr>
    </w:p>
    <w:p>
      <w:pPr>
        <w:ind w:left="660" w:right="640" w:hanging="328"/>
        <w:spacing w:after="0" w:line="286" w:lineRule="auto"/>
        <w:tabs>
          <w:tab w:leader="none" w:pos="656"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expenses to acquire technologies, such as intellectual property, to be used in research and development including in-process research and development ("IPR&amp;D") that has no alternative future use at the time of asset acquisitions;</w:t>
      </w:r>
    </w:p>
    <w:p>
      <w:pPr>
        <w:spacing w:after="0" w:line="4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compliance with quality and regulatory requirements; and</w:t>
      </w:r>
    </w:p>
    <w:p>
      <w:pPr>
        <w:spacing w:after="0" w:line="116" w:lineRule="exact"/>
        <w:rPr>
          <w:rFonts w:ascii="Times New Roman" w:cs="Times New Roman" w:eastAsia="Times New Roman" w:hAnsi="Times New Roman"/>
          <w:sz w:val="18"/>
          <w:szCs w:val="18"/>
          <w:color w:val="auto"/>
        </w:rPr>
      </w:pPr>
    </w:p>
    <w:p>
      <w:pPr>
        <w:ind w:left="660" w:right="600" w:hanging="328"/>
        <w:spacing w:after="0" w:line="286" w:lineRule="auto"/>
        <w:tabs>
          <w:tab w:leader="none" w:pos="656"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facilities, depreciation and other indirect costs allocated to employees and activities supporting our research and development efforts.</w:t>
      </w:r>
    </w:p>
    <w:p>
      <w:pPr>
        <w:spacing w:after="0" w:line="18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Costs for certain activities are recognized based on an evaluation of the progress to completion of each specific contract using information and data provided to us by our vendors and analyzing the progress of our research studies or other services performed. Significant judgments and estimates are made in determining the expenses incurred at the end of any reporting period.</w:t>
      </w:r>
    </w:p>
    <w:p>
      <w:pPr>
        <w:spacing w:after="0" w:line="1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direct, external research and development expenses consist primarily of fees paid to outside consultants, CROs, CMOs and research laboratories in connection with our process development, manufacturing and clinical development activities. Our direct external research and development expenses also include fees incurred under license and intellectual property purchase agreements. We track these external research and development costs on a program-by-program basis.</w:t>
      </w: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do not allocate employee costs, facility costs, including depreciation, or other indirect costs, to specific programs because these costs are deployed across multiple programs and, as such, are not separately classified. We use internal resources and third-party consultants primarily to conduct our research and development activities as well as for managing our process development, manufacturing and clinical development activities.</w:t>
      </w:r>
    </w:p>
    <w:p>
      <w:pPr>
        <w:spacing w:after="0" w:line="20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successful development of any product candidate is highly uncertain. If we continue to progress the development of our product candidates, we will need to raise substantial additional capital in the future to fund the future development of these programs. We intend to focus our near term research and development efforts on completing the ongoing activities and preparing our programs for a potential transaction or sale.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General and administrative expenses consist primarily of salaries, benefits and share-based compensation for our personnel in executive, legal, business development, finance and accounting, and other administrative functions. General and administrative expenses also include legal fees relating to intellectual property and corporate matters, professional fees paid for accounting, auditing, tax and consulting services, insurance costs, travel expenses and direct and allocated facility costs not otherwise included in research and development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Net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Total other income, net, includes interest income earned on cash, cash equivalents and marketable securities, and income and expense items.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Investment in Joint Venture</w:t>
      </w:r>
    </w:p>
    <w:p>
      <w:pPr>
        <w:spacing w:after="0" w:line="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recognize the pro-rata share of losses in the joint venture with Recursion (as successor in interest to Exscientia) on the condensed consolidated statements of operations and comprehensive (loss) income within the loss on investment in joint venture line item, with a corresponding change to the joint venture investment asset on the condensed consolidated balance sheets for equity method investments for which we do not have a controlling interest in. In July 2025, we sold our interest in REV102 to Recursion.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2"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Income tax expense includes current taxes on income recognized from the termination of the Candid Merger Agreement which resulted in a termination fee. We continue to maintain a full valuation allowance against our deferred tax assets.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2026 and 2025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4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5"/>
        </w:trPr>
        <w:tc>
          <w:tcPr>
            <w:tcW w:w="6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7"/>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CHANGE</w:t>
            </w: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1"/>
        </w:trPr>
        <w:tc>
          <w:tcPr>
            <w:tcW w:w="6280" w:type="dxa"/>
            <w:vAlign w:val="bottom"/>
          </w:tcPr>
          <w:p>
            <w:pPr>
              <w:ind w:left="180"/>
              <w:spacing w:after="0"/>
              <w:rPr>
                <w:sz w:val="20"/>
                <w:szCs w:val="20"/>
                <w:color w:val="auto"/>
              </w:rPr>
            </w:pPr>
            <w:r>
              <w:rPr>
                <w:rFonts w:ascii="Arial" w:cs="Arial" w:eastAsia="Arial" w:hAnsi="Arial"/>
                <w:sz w:val="18"/>
                <w:szCs w:val="18"/>
                <w:color w:val="auto"/>
              </w:rPr>
              <w:t>Collaboration and license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3"/>
        </w:trPr>
        <w:tc>
          <w:tcPr>
            <w:tcW w:w="6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61"/>
        </w:trPr>
        <w:tc>
          <w:tcPr>
            <w:tcW w:w="6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(3,559)</w:t>
            </w:r>
          </w:p>
        </w:tc>
      </w:tr>
      <w:tr>
        <w:trPr>
          <w:trHeight w:val="261"/>
        </w:trPr>
        <w:tc>
          <w:tcPr>
            <w:tcW w:w="62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3"/>
        </w:trPr>
        <w:tc>
          <w:tcPr>
            <w:tcW w:w="6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r>
      <w:tr>
        <w:trPr>
          <w:trHeight w:val="254"/>
        </w:trPr>
        <w:tc>
          <w:tcPr>
            <w:tcW w:w="62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10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(6,925)</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3,502</w:t>
            </w:r>
          </w:p>
        </w:tc>
      </w:tr>
      <w:tr>
        <w:trPr>
          <w:trHeight w:val="23"/>
        </w:trPr>
        <w:tc>
          <w:tcPr>
            <w:tcW w:w="6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3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22,941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(22,163)</w:t>
            </w:r>
          </w:p>
        </w:tc>
      </w:tr>
      <w:tr>
        <w:trPr>
          <w:trHeight w:val="254"/>
        </w:trPr>
        <w:tc>
          <w:tcPr>
            <w:tcW w:w="6280" w:type="dxa"/>
            <w:vAlign w:val="bottom"/>
          </w:tcPr>
          <w:p>
            <w:pPr>
              <w:ind w:left="20"/>
              <w:spacing w:after="0"/>
              <w:rPr>
                <w:sz w:val="20"/>
                <w:szCs w:val="20"/>
                <w:color w:val="auto"/>
              </w:rPr>
            </w:pPr>
            <w:r>
              <w:rPr>
                <w:rFonts w:ascii="Arial" w:cs="Arial" w:eastAsia="Arial" w:hAnsi="Arial"/>
                <w:sz w:val="18"/>
                <w:szCs w:val="18"/>
                <w:color w:val="auto"/>
              </w:rPr>
              <w:t>(Loss) income before income tax and equity in losses of joint venture</w:t>
            </w:r>
          </w:p>
        </w:tc>
        <w:tc>
          <w:tcPr>
            <w:tcW w:w="3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16,016</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(18,661)</w:t>
            </w:r>
          </w:p>
        </w:tc>
      </w:tr>
      <w:tr>
        <w:trPr>
          <w:trHeight w:val="23"/>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61"/>
        </w:trPr>
        <w:tc>
          <w:tcPr>
            <w:tcW w:w="6280" w:type="dxa"/>
            <w:vAlign w:val="bottom"/>
          </w:tcPr>
          <w:p>
            <w:pPr>
              <w:ind w:left="20"/>
              <w:spacing w:after="0"/>
              <w:rPr>
                <w:sz w:val="20"/>
                <w:szCs w:val="20"/>
                <w:color w:val="auto"/>
              </w:rPr>
            </w:pPr>
            <w:r>
              <w:rPr>
                <w:rFonts w:ascii="Arial" w:cs="Arial" w:eastAsia="Arial" w:hAnsi="Arial"/>
                <w:sz w:val="18"/>
                <w:szCs w:val="18"/>
                <w:color w:val="auto"/>
              </w:rPr>
              <w:t>Loss on investment in joint venture</w:t>
            </w:r>
          </w:p>
        </w:tc>
        <w:tc>
          <w:tcPr>
            <w:tcW w:w="300" w:type="dxa"/>
            <w:vAlign w:val="bottom"/>
          </w:tcPr>
          <w:p>
            <w:pPr>
              <w:spacing w:after="0"/>
              <w:rPr>
                <w:sz w:val="22"/>
                <w:szCs w:val="22"/>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6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02"/>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There was no collaboration and license revenue for the three months ended September 30, 2026. Collaboration and license revenue was $0.2 million for the three months ended September 30,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costs for each of the periods presented: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4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6"/>
        </w:trPr>
        <w:tc>
          <w:tcPr>
            <w:tcW w:w="6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9"/>
        </w:trPr>
        <w:tc>
          <w:tcPr>
            <w:tcW w:w="6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CHANGE</w:t>
            </w: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Direct research and development by program</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0"/>
        </w:trPr>
        <w:tc>
          <w:tcPr>
            <w:tcW w:w="6440" w:type="dxa"/>
            <w:vAlign w:val="bottom"/>
          </w:tcPr>
          <w:p>
            <w:pPr>
              <w:ind w:left="360"/>
              <w:spacing w:after="0"/>
              <w:rPr>
                <w:sz w:val="20"/>
                <w:szCs w:val="20"/>
                <w:color w:val="auto"/>
              </w:rPr>
            </w:pPr>
            <w:r>
              <w:rPr>
                <w:rFonts w:ascii="Arial" w:cs="Arial" w:eastAsia="Arial" w:hAnsi="Arial"/>
                <w:sz w:val="18"/>
                <w:szCs w:val="18"/>
                <w:color w:val="auto"/>
              </w:rPr>
              <w:t>RLYB212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(1,090)</w:t>
            </w:r>
          </w:p>
        </w:tc>
      </w:tr>
      <w:tr>
        <w:trPr>
          <w:trHeight w:val="23"/>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6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RLYB116</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60"/>
        </w:trPr>
        <w:tc>
          <w:tcPr>
            <w:tcW w:w="6440" w:type="dxa"/>
            <w:vAlign w:val="bottom"/>
          </w:tcPr>
          <w:p>
            <w:pPr>
              <w:ind w:left="360"/>
              <w:spacing w:after="0"/>
              <w:rPr>
                <w:sz w:val="20"/>
                <w:szCs w:val="20"/>
                <w:color w:val="auto"/>
              </w:rPr>
            </w:pPr>
            <w:r>
              <w:rPr>
                <w:rFonts w:ascii="Arial" w:cs="Arial" w:eastAsia="Arial" w:hAnsi="Arial"/>
                <w:sz w:val="18"/>
                <w:szCs w:val="18"/>
                <w:color w:val="auto"/>
              </w:rPr>
              <w:t>Other program candidates</w:t>
            </w:r>
          </w:p>
        </w:tc>
        <w:tc>
          <w:tcPr>
            <w:tcW w:w="26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Other unallocated research and development costs</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60"/>
        </w:trPr>
        <w:tc>
          <w:tcPr>
            <w:tcW w:w="6440" w:type="dxa"/>
            <w:vAlign w:val="bottom"/>
          </w:tcPr>
          <w:p>
            <w:pPr>
              <w:ind w:left="360"/>
              <w:spacing w:after="0"/>
              <w:rPr>
                <w:sz w:val="20"/>
                <w:szCs w:val="20"/>
                <w:color w:val="auto"/>
              </w:rPr>
            </w:pPr>
            <w:r>
              <w:rPr>
                <w:rFonts w:ascii="Arial" w:cs="Arial" w:eastAsia="Arial" w:hAnsi="Arial"/>
                <w:sz w:val="18"/>
                <w:szCs w:val="18"/>
                <w:color w:val="auto"/>
              </w:rPr>
              <w:t>Personnel expenses (including share-based compensation)</w:t>
            </w: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(1,495)</w:t>
            </w:r>
          </w:p>
        </w:tc>
      </w:tr>
      <w:tr>
        <w:trPr>
          <w:trHeight w:val="23"/>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3"/>
        </w:trPr>
        <w:tc>
          <w:tcPr>
            <w:tcW w:w="6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expenses</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77"/>
        </w:trPr>
        <w:tc>
          <w:tcPr>
            <w:tcW w:w="6440" w:type="dxa"/>
            <w:vAlign w:val="bottom"/>
          </w:tcPr>
          <w:p>
            <w:pPr>
              <w:ind w:left="680"/>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4,143</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(3,559)</w:t>
            </w:r>
          </w:p>
        </w:tc>
      </w:tr>
      <w:tr>
        <w:trPr>
          <w:trHeight w:val="21"/>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Research and development expenses were $0.6 million for the three months ended September 30, 2026, compared to $4.1 million for the three months ended September 30, 2025. The decrease of $3.6 million in 2026 as compared to 2025 was primarily due to:</w:t>
      </w:r>
    </w:p>
    <w:p>
      <w:pPr>
        <w:spacing w:after="0" w:line="45" w:lineRule="exact"/>
        <w:rPr>
          <w:sz w:val="20"/>
          <w:szCs w:val="20"/>
          <w:color w:val="auto"/>
        </w:rPr>
      </w:pPr>
    </w:p>
    <w:p>
      <w:pPr>
        <w:ind w:left="1300" w:right="360" w:hanging="644"/>
        <w:spacing w:after="0" w:line="287" w:lineRule="auto"/>
        <w:tabs>
          <w:tab w:leader="none" w:pos="12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$1.1 million decrease in RLYB212 development costs, primarily related to a decrease in clinical costs and other related development costs as a result of our discontinuation of the FNAIT program in April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300" w:right="360" w:hanging="644"/>
        <w:spacing w:after="0" w:line="287" w:lineRule="auto"/>
        <w:tabs>
          <w:tab w:leader="none" w:pos="12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$0.8 million decrease in RLYB116 development costs, primarily related to a decrease in clinical costs and other related development costs; and</w:t>
      </w:r>
    </w:p>
    <w:p>
      <w:pPr>
        <w:spacing w:after="0" w:line="44" w:lineRule="exact"/>
        <w:rPr>
          <w:rFonts w:ascii="Arial" w:cs="Arial" w:eastAsia="Arial" w:hAnsi="Arial"/>
          <w:sz w:val="18"/>
          <w:szCs w:val="18"/>
          <w:color w:val="auto"/>
        </w:rPr>
      </w:pPr>
    </w:p>
    <w:p>
      <w:pPr>
        <w:jc w:val="both"/>
        <w:ind w:left="1300" w:right="40" w:hanging="644"/>
        <w:spacing w:after="0" w:line="268" w:lineRule="auto"/>
        <w:tabs>
          <w:tab w:leader="none" w:pos="12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$1.5 million decrease in personnel expenses, primarily related to lower ongoing headcount during the three months ended September 30, 2026 as compared to the same period in 2025, in addition to a decrease in share-based compensation and a decrease in the bonus accrual.</w:t>
      </w:r>
    </w:p>
    <w:p>
      <w:pPr>
        <w:spacing w:after="0" w:line="30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General and administrative expenses were $2.8 million for the three months ended September 30, 2026, compared to $ 3.0 million for the three months ended September 30, 2025. The decrease of $0.2 million in 2026 as compared to 2025 was primarily due to:</w:t>
      </w:r>
    </w:p>
    <w:p>
      <w:pPr>
        <w:spacing w:after="0" w:line="45" w:lineRule="exact"/>
        <w:rPr>
          <w:sz w:val="20"/>
          <w:szCs w:val="20"/>
          <w:color w:val="auto"/>
        </w:rPr>
      </w:pPr>
    </w:p>
    <w:p>
      <w:pPr>
        <w:jc w:val="both"/>
        <w:ind w:left="1300" w:right="40" w:hanging="644"/>
        <w:spacing w:after="0" w:line="268" w:lineRule="auto"/>
        <w:tabs>
          <w:tab w:leader="none" w:pos="12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$0.5 million decrease in personnel expenses, primarily related to lower ongoing headcount during the three months ended September 30, 2026 as compared to the same period in 2025, in addition to a decrease in share-based compensation and a decrease in the bonus accrual.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This decrease was partially offset by:</w:t>
      </w:r>
    </w:p>
    <w:p>
      <w:pPr>
        <w:spacing w:after="0" w:line="117" w:lineRule="exact"/>
        <w:rPr>
          <w:sz w:val="20"/>
          <w:szCs w:val="20"/>
          <w:color w:val="auto"/>
        </w:rPr>
      </w:pPr>
    </w:p>
    <w:p>
      <w:pPr>
        <w:ind w:left="1300" w:right="740" w:hanging="644"/>
        <w:spacing w:after="0" w:line="287" w:lineRule="auto"/>
        <w:tabs>
          <w:tab w:leader="none" w:pos="12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$0.3 million increase primarily related to legal fees, professional fees and other related general and administrative expenses, the vast majority of which were incurred in connection with the Merger.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Net</w:t>
      </w:r>
    </w:p>
    <w:p>
      <w:pPr>
        <w:spacing w:after="0" w:line="25"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color w:val="auto"/>
        </w:rPr>
        <w:t>Total other income, net, for the three months ended September 30, 2026 was $0.8 million compared to $ 22.9 million for the three months ended September 30, 2025. The decrease in total other income of $22.2 million was primarily due to the JV Sale in July 2025.</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2"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Income tax expense for the period was primarily driven by current taxes on income recognized from the termination of the Candid Merger Agreement which resulted in a termination fee. We continue to maintain a full valuation allowance against its deferred tax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Investment in Joint Venture</w:t>
      </w:r>
    </w:p>
    <w:p>
      <w:pPr>
        <w:spacing w:after="0" w:line="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 July 2025, we sold our interest in REV102 to Recursion which resulted in no loss on investment in joint venture for the three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2026 and 2025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0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THE NINE MONTHS ENDED</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5"/>
        </w:trPr>
        <w:tc>
          <w:tcPr>
            <w:tcW w:w="6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6"/>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CHANGE</w:t>
            </w: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1"/>
        </w:trPr>
        <w:tc>
          <w:tcPr>
            <w:tcW w:w="6280" w:type="dxa"/>
            <w:vAlign w:val="bottom"/>
          </w:tcPr>
          <w:p>
            <w:pPr>
              <w:ind w:left="180"/>
              <w:spacing w:after="0"/>
              <w:rPr>
                <w:sz w:val="20"/>
                <w:szCs w:val="20"/>
                <w:color w:val="auto"/>
              </w:rPr>
            </w:pPr>
            <w:r>
              <w:rPr>
                <w:rFonts w:ascii="Arial" w:cs="Arial" w:eastAsia="Arial" w:hAnsi="Arial"/>
                <w:sz w:val="18"/>
                <w:szCs w:val="18"/>
                <w:color w:val="auto"/>
              </w:rPr>
              <w:t>Collaboration and license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2"/>
                <w:szCs w:val="22"/>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3"/>
        </w:trPr>
        <w:tc>
          <w:tcPr>
            <w:tcW w:w="6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61"/>
        </w:trPr>
        <w:tc>
          <w:tcPr>
            <w:tcW w:w="6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
        </w:trPr>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(11,729)</w:t>
            </w:r>
          </w:p>
        </w:tc>
      </w:tr>
      <w:tr>
        <w:trPr>
          <w:trHeight w:val="261"/>
        </w:trPr>
        <w:tc>
          <w:tcPr>
            <w:tcW w:w="62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13,808</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2,462</w:t>
            </w:r>
          </w:p>
        </w:tc>
      </w:tr>
      <w:tr>
        <w:trPr>
          <w:trHeight w:val="23"/>
        </w:trPr>
        <w:tc>
          <w:tcPr>
            <w:tcW w:w="6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18,021</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r>
      <w:tr>
        <w:trPr>
          <w:trHeight w:val="254"/>
        </w:trPr>
        <w:tc>
          <w:tcPr>
            <w:tcW w:w="62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(17,809)</w:t>
            </w:r>
          </w:p>
        </w:tc>
        <w:tc>
          <w:tcPr>
            <w:tcW w:w="10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(26,652)</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8,843</w:t>
            </w:r>
          </w:p>
        </w:tc>
      </w:tr>
      <w:tr>
        <w:trPr>
          <w:trHeight w:val="23"/>
        </w:trPr>
        <w:tc>
          <w:tcPr>
            <w:tcW w:w="6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51,875</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27,475</w:t>
            </w:r>
          </w:p>
        </w:tc>
      </w:tr>
      <w:tr>
        <w:trPr>
          <w:trHeight w:val="254"/>
        </w:trPr>
        <w:tc>
          <w:tcPr>
            <w:tcW w:w="6280" w:type="dxa"/>
            <w:vAlign w:val="bottom"/>
          </w:tcPr>
          <w:p>
            <w:pPr>
              <w:ind w:left="20"/>
              <w:spacing w:after="0"/>
              <w:rPr>
                <w:sz w:val="20"/>
                <w:szCs w:val="20"/>
                <w:color w:val="auto"/>
              </w:rPr>
            </w:pPr>
            <w:r>
              <w:rPr>
                <w:rFonts w:ascii="Arial" w:cs="Arial" w:eastAsia="Arial" w:hAnsi="Arial"/>
                <w:sz w:val="18"/>
                <w:szCs w:val="18"/>
                <w:color w:val="auto"/>
              </w:rPr>
              <w:t>Income (loss) before income tax and equity in losses of joint venture</w:t>
            </w:r>
          </w:p>
        </w:tc>
        <w:tc>
          <w:tcPr>
            <w:tcW w:w="3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34,066</w:t>
            </w:r>
          </w:p>
        </w:tc>
        <w:tc>
          <w:tcPr>
            <w:tcW w:w="10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36,318</w:t>
            </w:r>
          </w:p>
        </w:tc>
      </w:tr>
      <w:tr>
        <w:trPr>
          <w:trHeight w:val="23"/>
        </w:trPr>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r>
      <w:tr>
        <w:trPr>
          <w:trHeight w:val="261"/>
        </w:trPr>
        <w:tc>
          <w:tcPr>
            <w:tcW w:w="6280" w:type="dxa"/>
            <w:vAlign w:val="bottom"/>
          </w:tcPr>
          <w:p>
            <w:pPr>
              <w:ind w:left="20"/>
              <w:spacing w:after="0"/>
              <w:rPr>
                <w:sz w:val="20"/>
                <w:szCs w:val="20"/>
                <w:color w:val="auto"/>
              </w:rPr>
            </w:pPr>
            <w:r>
              <w:rPr>
                <w:rFonts w:ascii="Arial" w:cs="Arial" w:eastAsia="Arial" w:hAnsi="Arial"/>
                <w:sz w:val="18"/>
                <w:szCs w:val="18"/>
                <w:color w:val="auto"/>
              </w:rPr>
              <w:t>Loss on investment in joint venture</w:t>
            </w:r>
          </w:p>
        </w:tc>
        <w:tc>
          <w:tcPr>
            <w:tcW w:w="3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(874)</w:t>
            </w:r>
          </w:p>
        </w:tc>
      </w:tr>
      <w:tr>
        <w:trPr>
          <w:trHeight w:val="23"/>
        </w:trPr>
        <w:tc>
          <w:tcPr>
            <w:tcW w:w="6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02"/>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32,662</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Collaboration and license revenue was $0.2 million and $0.6 million for the nine months ended September 30, 2026 and 2025,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costs for each of the periods presented: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NINE MONTHS ENDED</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6"/>
        </w:trPr>
        <w:tc>
          <w:tcPr>
            <w:tcW w:w="6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9"/>
        </w:trPr>
        <w:tc>
          <w:tcPr>
            <w:tcW w:w="6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CHANGE</w:t>
            </w: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Direct research and development by program</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0"/>
        </w:trPr>
        <w:tc>
          <w:tcPr>
            <w:tcW w:w="6440" w:type="dxa"/>
            <w:vAlign w:val="bottom"/>
          </w:tcPr>
          <w:p>
            <w:pPr>
              <w:ind w:left="360"/>
              <w:spacing w:after="0"/>
              <w:rPr>
                <w:sz w:val="20"/>
                <w:szCs w:val="20"/>
                <w:color w:val="auto"/>
              </w:rPr>
            </w:pPr>
            <w:r>
              <w:rPr>
                <w:rFonts w:ascii="Arial" w:cs="Arial" w:eastAsia="Arial" w:hAnsi="Arial"/>
                <w:sz w:val="18"/>
                <w:szCs w:val="18"/>
                <w:color w:val="auto"/>
              </w:rPr>
              <w:t>RLYB212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2"/>
                <w:szCs w:val="22"/>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5,028</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(4,897)</w:t>
            </w:r>
          </w:p>
        </w:tc>
      </w:tr>
      <w:tr>
        <w:trPr>
          <w:trHeight w:val="23"/>
        </w:trPr>
        <w:tc>
          <w:tcPr>
            <w:tcW w:w="6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6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RLYB116</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r>
      <w:tr>
        <w:trPr>
          <w:trHeight w:val="260"/>
        </w:trPr>
        <w:tc>
          <w:tcPr>
            <w:tcW w:w="6440" w:type="dxa"/>
            <w:vAlign w:val="bottom"/>
          </w:tcPr>
          <w:p>
            <w:pPr>
              <w:ind w:left="360"/>
              <w:spacing w:after="0"/>
              <w:rPr>
                <w:sz w:val="20"/>
                <w:szCs w:val="20"/>
                <w:color w:val="auto"/>
              </w:rPr>
            </w:pPr>
            <w:r>
              <w:rPr>
                <w:rFonts w:ascii="Arial" w:cs="Arial" w:eastAsia="Arial" w:hAnsi="Arial"/>
                <w:sz w:val="18"/>
                <w:szCs w:val="18"/>
                <w:color w:val="auto"/>
              </w:rPr>
              <w:t>Other program candidates</w:t>
            </w:r>
          </w:p>
        </w:tc>
        <w:tc>
          <w:tcPr>
            <w:tcW w:w="3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
        </w:trPr>
        <w:tc>
          <w:tcPr>
            <w:tcW w:w="6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Other unallocated research and development costs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60"/>
        </w:trPr>
        <w:tc>
          <w:tcPr>
            <w:tcW w:w="6440" w:type="dxa"/>
            <w:vAlign w:val="bottom"/>
          </w:tcPr>
          <w:p>
            <w:pPr>
              <w:ind w:left="360"/>
              <w:spacing w:after="0"/>
              <w:rPr>
                <w:sz w:val="20"/>
                <w:szCs w:val="20"/>
                <w:color w:val="auto"/>
              </w:rPr>
            </w:pPr>
            <w:r>
              <w:rPr>
                <w:rFonts w:ascii="Arial" w:cs="Arial" w:eastAsia="Arial" w:hAnsi="Arial"/>
                <w:sz w:val="18"/>
                <w:szCs w:val="18"/>
                <w:color w:val="auto"/>
              </w:rPr>
              <w:t>Personnel expenses (including share-based compensation)</w:t>
            </w:r>
          </w:p>
        </w:tc>
        <w:tc>
          <w:tcPr>
            <w:tcW w:w="3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2,672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7,457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(4,785)</w:t>
            </w:r>
          </w:p>
        </w:tc>
      </w:tr>
      <w:tr>
        <w:trPr>
          <w:trHeight w:val="23"/>
        </w:trPr>
        <w:tc>
          <w:tcPr>
            <w:tcW w:w="6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3"/>
        </w:trPr>
        <w:tc>
          <w:tcPr>
            <w:tcW w:w="6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expenses</w:t>
            </w:r>
          </w:p>
        </w:tc>
        <w:tc>
          <w:tcPr>
            <w:tcW w:w="3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77"/>
        </w:trPr>
        <w:tc>
          <w:tcPr>
            <w:tcW w:w="6440" w:type="dxa"/>
            <w:vAlign w:val="bottom"/>
          </w:tcPr>
          <w:p>
            <w:pPr>
              <w:ind w:left="680"/>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4,213</w:t>
            </w:r>
          </w:p>
        </w:tc>
        <w:tc>
          <w:tcPr>
            <w:tcW w:w="100" w:type="dxa"/>
            <w:vAlign w:val="bottom"/>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15,942</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(11,729)</w:t>
            </w:r>
          </w:p>
        </w:tc>
      </w:tr>
      <w:tr>
        <w:trPr>
          <w:trHeight w:val="20"/>
        </w:trPr>
        <w:tc>
          <w:tcPr>
            <w:tcW w:w="6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Research and development expenses were $4.2 million for the nine months ended September 30, 2026, compared to $ 15.9 million for the nine months ended September 30, 2025. The decrease of $11.7 million in 2026 as compared to 2025 was primarily due to:</w:t>
      </w:r>
    </w:p>
    <w:p>
      <w:pPr>
        <w:spacing w:after="0" w:line="45" w:lineRule="exact"/>
        <w:rPr>
          <w:sz w:val="20"/>
          <w:szCs w:val="20"/>
          <w:color w:val="auto"/>
        </w:rPr>
      </w:pPr>
    </w:p>
    <w:p>
      <w:pPr>
        <w:ind w:left="1300" w:right="240" w:hanging="644"/>
        <w:spacing w:after="0" w:line="318" w:lineRule="auto"/>
        <w:tabs>
          <w:tab w:leader="none" w:pos="1296"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$4.9 million decrease in RLYB212 development costs, primarily related to a decrease in clinical costs and manufacturing costs and other related development costs as a result of our discontinuation of the FNAIT program in April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300" w:right="180" w:hanging="644"/>
        <w:spacing w:after="0" w:line="287" w:lineRule="auto"/>
        <w:tabs>
          <w:tab w:leader="none" w:pos="12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$1.8 million decrease in RLYB116 development costs, primarily related to a decrease in clinical costs and manufacturing costs and other related development costs; and</w:t>
      </w:r>
    </w:p>
    <w:p>
      <w:pPr>
        <w:spacing w:after="0" w:line="44" w:lineRule="exact"/>
        <w:rPr>
          <w:rFonts w:ascii="Arial" w:cs="Arial" w:eastAsia="Arial" w:hAnsi="Arial"/>
          <w:sz w:val="18"/>
          <w:szCs w:val="18"/>
          <w:color w:val="auto"/>
        </w:rPr>
      </w:pPr>
    </w:p>
    <w:p>
      <w:pPr>
        <w:ind w:left="1300" w:hanging="644"/>
        <w:spacing w:after="0" w:line="268" w:lineRule="auto"/>
        <w:tabs>
          <w:tab w:leader="none" w:pos="12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$4.8 million decrease in personnel expenses, primarily related to lower ongoing headcount during the nine months ended September 30, 2026 as compared to the same period in 2025, in addition to a decrease in share-based compensation and a decrease in the bonus accrual.</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decreases were partially offset by:</w:t>
      </w:r>
    </w:p>
    <w:p>
      <w:pPr>
        <w:spacing w:after="0" w:line="117"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personnel expenses, primarily related to severance recognized in connection with the Merger.</w:t>
      </w:r>
    </w:p>
    <w:p>
      <w:pPr>
        <w:spacing w:after="0" w:line="36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General and administrative expenses were $13.8 million for the nine months ended September 30, 2026, compared to $11.3 million for the nine months ended September 30, 2025. The increase of $2.5 million in 2026 as compared to 2025 was primarily due to:</w:t>
      </w:r>
    </w:p>
    <w:p>
      <w:pPr>
        <w:spacing w:after="0" w:line="45" w:lineRule="exact"/>
        <w:rPr>
          <w:sz w:val="20"/>
          <w:szCs w:val="20"/>
          <w:color w:val="auto"/>
        </w:rPr>
      </w:pPr>
    </w:p>
    <w:p>
      <w:pPr>
        <w:ind w:left="1300" w:right="700" w:hanging="644"/>
        <w:spacing w:after="0" w:line="287" w:lineRule="auto"/>
        <w:tabs>
          <w:tab w:leader="none" w:pos="12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$5.3 million increase primarily related to legal fees, professional fees and other related general and administrative expenses, the vast majority of which were incurred in connection with the Merger and the Candid Merger.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17" w:lineRule="exact"/>
        <w:rPr>
          <w:sz w:val="20"/>
          <w:szCs w:val="20"/>
          <w:color w:val="auto"/>
        </w:rPr>
      </w:pPr>
    </w:p>
    <w:p>
      <w:pPr>
        <w:ind w:left="1300" w:right="100" w:hanging="644"/>
        <w:spacing w:after="0" w:line="262" w:lineRule="auto"/>
        <w:tabs>
          <w:tab w:leader="none" w:pos="12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$2.8 million decrease in personnel expenses, primarily related to lower ongoing headcount during the nine months ended September 30, 2026 as compared to the same period in 2025. In addition, there was a decrease in share-based compensation and a decrease in the bonus accrual in 2026 that was offset by an increase in severance recognized in connection with the Merger and the Candid Merger.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Net</w:t>
      </w:r>
    </w:p>
    <w:p>
      <w:pPr>
        <w:spacing w:after="0" w:line="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Total other income, net, for the nine months ended September 30, 2026 was $51.9 million compared to $24.4 million for the nine months ended September 30, 2025. The increase in total other income of $27.5 million was primarily a result of the termination of the Candid Merger Agreement, which resulted in a termination fee of $50.0 million paid to us on May 4, 2026, offset by other income of $22.4 million due to the gain on sale of the JV in July 2025</w:t>
      </w:r>
      <w:r>
        <w:rPr>
          <w:rFonts w:ascii="Arial" w:cs="Arial" w:eastAsia="Arial" w:hAnsi="Arial"/>
          <w:sz w:val="18"/>
          <w:szCs w:val="18"/>
          <w:color w:val="EE2724"/>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2"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Income tax expense for the period was primarily driven by current taxes on income recognized from the termination of the Candid Merger Agreement and the related termination fee. We continue to maintain a full valuation allowance against our deferred tax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Investment in Joint Venture</w:t>
      </w:r>
    </w:p>
    <w:p>
      <w:pPr>
        <w:spacing w:after="0" w:line="25"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Loss on investment in joint venture was $0.9 million for the nine months ended September 30, 2025. In July 2025, we sold our interest in REV102 to Recursion which resulted in no loss on investment in joint venture for the nine months ended September 30,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February 6, 2026, we executed a reverse stock split of our issued and outstanding common stock, par value $0.0001, at a ratio of 1-for-8 with a record date of December 30, 2025 (the “Reverse Stock Split”). All common stock, per share and related information included herein have been adjusted retroactively, where applicable, to reflect the Reverse Stock Split.</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our inception, we have funded our operations primarily through equity financings. From our inception and prior to our IPO, we received proceeds of approximately $182.5 million from equity financings. In August 2021, we closed our IPO and issued and sold 891,250 shares of common stock, inclusive of 116,250 shares sold pursuant to the full exercise of the underwriters’ option to purchase additional shares, at a public offering price of $104.00 per share. We received net proceeds of approximately $83.0 million, after deducting underwriting discounts and commissions and other offering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August 2022, we filed a Registration Statement on Form S-3 (the “Shelf”) with the SEC in relation to the registration and potential future issuance of common stock, preferred stock, debt securities, warrants and/or units of any combination thereof in the aggregate amount of up to $300.0 million. The Shelf was declared effective on August 15, 2022. Pursuant to General Instruction I.B.6 to Form S-3 (“Instruction I.B.6”), a company with a public float of less than $75.0 million measured at certain time periods may not issue securities under Registration Statements on Form S-3 in excess of one-third of its public float in a 12-month period. We are subject to the limitations of Instruction I.B.6, which may limit the amount of funds we can raise using the Shelf or any other Registration Statement on Form S-3. In connection with the Shelf, we also simultaneously entered into a Sales Agreement with TD Securities (USA) LLC (f/k/a Cowen and Company, LLC) ("TD Cowen"), which was amended on March 13, 2025 (as amended, the "Sales Agreement"). In accordance with the terms of the Sales Agreement, we may offer and sell shares of our common stock having an aggregate offering price of up to $9.55 million from time to time at prices through TD Cowen acting as our agent. Pursuant to the Sales Agreement, sales of our common stock, if any, will be made in sales deemed to be “at the market offerings” as defined in Rule 415(a)(4) promulgated under the Securities Act of 1933, as amended (the "Securities Act"). Under the Sales Agreement, TD Cowen will be entitled to compensation equal to 3.0% of the gross proceeds of any shares of common stock sold under the Sales Agreement. As of September 30, 2026, we had not sold any shares of common stock pursuant to the Sales Agreement.</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November 2022, we completed a follow-on offering of approximately $ 54.8 million consisting of 725,456 shares of common stock, inclusive of 100,456 shares of common stock sold pursuant to the partial exercise of the underwriters' option to purchase additional shares at the price of $48.00 per share, and to certain investors in lieu of common stock, pre-funded warrants to purchase up to an aggregate of 416,673 shares of common stock at a price of $47.9992, which represents the per share public offering price for the shares less the $0.0008 per share exercise price for each pre-funded warrant. The net proceeds from the November 2022 follow-on offering were approximately $50.8 million, after deducting underwriting discounts and commissions and other offering costs.</w:t>
      </w:r>
    </w:p>
    <w:p>
      <w:pPr>
        <w:spacing w:after="0" w:line="2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April 2024, we entered into the JJDC Securities Purchase Agreement, pursuant to which we sold to JJDC in an unregistered offering, 454,545 shares of our common stock at a price of $14.56 per share, which represented a 10% premium on our closing stock price on April 9, 2024, for aggregate gross proceeds of approximately $6.6 million, before deducting offering expenses. We agreed, among other things, to file with the SEC a registration statement covering the resale of the shares within 120 days following the closing of the offering. We filed this registration statement on May 10, 2024.</w:t>
      </w:r>
    </w:p>
    <w:p>
      <w:pPr>
        <w:spacing w:after="0" w:line="2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July 2025, we announced that we had entered into the ENPP1 Purchase Agreement to sell our interest in REV102, an ENPP1 inhibitor in preclinical development for the treatment of patients with HPP, to Buyer (a subsidiary of our joint venture partner, Recursion). In the third quarter of 2025, we received a total of $20.0 million in connection with the JV Sale, including $7.5 million from an upfront payment and $12.5 million from a milestone payment related to the initiation of additional preclinical studies. We are eligible to receive a $5.0 million milestone cash payment in connection with the initiation of dosing in a Phase 1 clinical study, as defined in the ENPP1 Purchase Agreement and low single-digit royalties on all future net sales by Recursion of products comprising or incorporating certain compounds developed by REV-I. We may also be eligible to receive certain payments in the event of Recursion’s sale of the REV102 program.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In May 2026, we received $50.0 million in connection with the termination of the Candid Merger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2026, we had $90.7 million of cash and cash equivalents.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Liquidity</w:t>
      </w:r>
    </w:p>
    <w:p>
      <w:pPr>
        <w:spacing w:after="0" w:line="2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We currently have no ongoing material financing commitments, such as lines of credit or guarantees, that are expected to affect our liquidity over the next five years. See "Contractual Obligations"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believe that our existing cash and cash equivalents will be sufficient to fund our operating expenses and capital expenditure requirements for at least 12 months beyond the filing of this Quarterly Report on Form 10-Q, although we anticipate that the Merger will close prior to the end of 2026.</w:t>
      </w:r>
    </w:p>
    <w:p>
      <w:pPr>
        <w:spacing w:after="0" w:line="20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If we continue to progress the development of our product candidates and because of the numerous risks and uncertainties, length of time and scope of activities associated with research, development and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color w:val="auto"/>
        </w:rPr>
        <w:t>commercialization of pharmaceutical product candidates, we are unable to estimate the actual amount of funds we will require for development, approval and any approved marketing and commercialization activities.</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Until such time, if ever, as we generate significant revenue from product sales, we expect to finance our operations through the sale of equity, debt financings, marketing and distribution arrangements and collaborations, strategic alliances and licensing arrangements or other sources. We currently have no credit facility or committed sources of capital. Any future sales of equity will result in dilution to our existing stockholders. If we raise additional funds through debt financing, we may be subject to covenants limiting or restricting our ability to take specific actions, such as incurring additional debt, making capital expenditures or declaring dividends, and we may need to dedicate a substantial additional portion of any operating cash flows to the payment of principal and interest on such indebtedness. If we raise additional funds through collaborations, strategic alliances or marketing, distribution or licensing arrangements with third parties, we may be required to relinquish valuable rights to our technologies, intellectual property, future revenue streams or product candidates or grant licenses on terms that may not be favorable to us. If we are unable to raise additional funds when needed, we may be required to delay, limit, reduce or terminate product candidate development or future commercialization efforts.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2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FOR THE NINE MONTHS ENDED</w:t>
            </w:r>
          </w:p>
        </w:tc>
      </w:tr>
      <w:tr>
        <w:trPr>
          <w:trHeight w:val="205"/>
        </w:trPr>
        <w:tc>
          <w:tcPr>
            <w:tcW w:w="8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r>
      <w:tr>
        <w:trPr>
          <w:trHeight w:val="23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2025</w:t>
            </w:r>
          </w:p>
        </w:tc>
      </w:tr>
      <w:tr>
        <w:trPr>
          <w:trHeight w:val="263"/>
        </w:trPr>
        <w:tc>
          <w:tcPr>
            <w:tcW w:w="81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35,665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(25,134)</w:t>
            </w:r>
          </w:p>
        </w:tc>
      </w:tr>
      <w:tr>
        <w:trPr>
          <w:trHeight w:val="261"/>
        </w:trPr>
        <w:tc>
          <w:tcPr>
            <w:tcW w:w="8100" w:type="dxa"/>
            <w:vAlign w:val="bottom"/>
          </w:tcPr>
          <w:p>
            <w:pPr>
              <w:ind w:left="520"/>
              <w:spacing w:after="0"/>
              <w:rPr>
                <w:sz w:val="20"/>
                <w:szCs w:val="20"/>
                <w:color w:val="auto"/>
              </w:rPr>
            </w:pPr>
            <w:r>
              <w:rPr>
                <w:rFonts w:ascii="Arial" w:cs="Arial" w:eastAsia="Arial" w:hAnsi="Arial"/>
                <w:sz w:val="18"/>
                <w:szCs w:val="18"/>
                <w:color w:val="auto"/>
              </w:rPr>
              <w:t>Net cash provided by investing activities</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23,400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43,343</w:t>
            </w:r>
          </w:p>
        </w:tc>
      </w:tr>
      <w:tr>
        <w:trPr>
          <w:trHeight w:val="2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81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7"/>
        </w:trPr>
        <w:tc>
          <w:tcPr>
            <w:tcW w:w="8100" w:type="dxa"/>
            <w:vAlign w:val="bottom"/>
          </w:tcPr>
          <w:p>
            <w:pPr>
              <w:ind w:left="24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59,319</w:t>
            </w:r>
          </w:p>
        </w:tc>
        <w:tc>
          <w:tcPr>
            <w:tcW w:w="100" w:type="dxa"/>
            <w:vAlign w:val="bottom"/>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18,219</w:t>
            </w:r>
          </w:p>
        </w:tc>
      </w:tr>
      <w:tr>
        <w:trPr>
          <w:trHeight w:val="21"/>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the nine months ended September 30, 2026, net cash provided by operating activities was $35.7 million as compared to $25.1 million of net cash used during the nine months ended September 30, 2025. The increase in net cash provided by operating activities during the nine months ended September 30, 2026 as compared to net cash used during the nine months ended September 30, 2025 was primarily a result from the termination of the Candid Merger Agreement, which resulted in a termination fee of $50.0 million paid to us in May 2026, in addition to a decrease in research and development activities; offset by an increase in general and administration activities and other income due to the gain on sale of the JV in July 2025.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Net cash provided by investing activities was $23.4 million during the nine months ended September 30, 2026 as compared to $ 43.3 million of net cash provided by investing activities during the nine months ended September 30, 2025. The decrease of $19.9 million in net cash provided by investing activities was primarily related to proceeds of $23.4 million from maturities of highly-rated debt securities during the nine months ended September 30, 2026, as compared to proceeds from maturities of highly-rated debt securities of $35.5 million and proceeds of $20.0 million from the sale of common stock received from the sale of the JV during the nine months ended September 30, 2025, partially offset by purchases of highly-rated debt securities of $10.6 million and investment in the JV of $1.5 million during the nine months ended September 30, 2025.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Net cash provided by financing activities during the nine months ended September 30, 2026 was $254 thousand primarily representing proceeds from the issuance of common stock from the exercise of stock options and under the stock purchase plan. Net cash provided by financing activities during the nine months ended September 30, 2025 was $10 thousand primarily representing the issuance of common stock under the stock purchase plan.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7"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There have been no other material changes in our contractual obligations and commitments during the nine months ended September 30, 2026 from those described under the heading “Management’s Discussion and Analysis of Financial Condition and Results of Operations— Contractual Obligations” in our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unaudited condensed consolidated financial statements are prepared in accordance with accounting principles generally accepted in the United States of America. The preparation of our unaudited condensed consolidated financial statements and related disclosures requires us to make estimates and judgments that affect the reported amounts of assets,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For a complete discussion of our significant accounting policies and recent accounting pronouncements, see Note 2 to the unaudited condensed consolidated financial statements appearing elsewhere in this Quarterly Report on Form 10-Q and Note 2 to the consolidated financial statements in our Annual Report. We believe that the following accounting policy is the most critical to the judgments and estimates used in the preparation of our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part of the process of preparing our condensed consolidated financial statements, we are required to estimate our research and development expenses that are incurred as of each reporting period. This process involves reviewing open contracts and purchase orders, communicating with our personnel and with vendors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w:t>
      </w:r>
    </w:p>
    <w:p>
      <w:pPr>
        <w:spacing w:after="0" w:line="18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balance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an emerging growth company (an “EGC”) under the Jumpstart Our Business Startups Act of 2012 (the "JOBS Act"), we may delay the adoption of certain accounting standards until such time as those standards apply to private companies. Other exemptions and reduced reporting requirements under the JOBS Act, for EGCs include presentation of only two years of audited financial statements in a registration statement for an initial public offering, an exemption from the requirement to provide an auditor’s report on internal controls over financial reporting pursuant to Section 404(b) of the Sarbanes-Oxley Act of 2002, an exemption from any requirement that may be adopted by the Public Company Accounting Oversight Board regarding mandatory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audit firm rotation, and less extensive disclosure about our executive compensation arrangements. Additionally,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We may choose to early adopt any new or revised accounting standards whenever such early adoption is permitted for private companies. Therefore, the reported results of operations contained in our condensed consolidated financial statements may not be directly comparable to those of other public companies.</w:t>
      </w:r>
    </w:p>
    <w:p>
      <w:pPr>
        <w:spacing w:after="0" w:line="18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$ 700.0 million and our annual revenue was less than $100.0 million during the most recently completed fiscal year. We may continue to be a smaller reporting company if either (i) the market value of our stock held by non-affiliates is less than $250.0 million or (ii) our annual revenue was less than $100.0 million during the most recently completed fiscal year and the market value of our stock held by non-affiliates is less than $700.0 million. 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an EGC, smaller reporting companies have reduced disclosure obligations regarding 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As of September 30, 2026 and December 31, 2025, we did not have any off-balance sheet arrangements, as defined in Item 303(a)(4)(ii) of Regulation S-K.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as amended (the "Exchange Act"), and are not required to provide the information under this item.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and accounting officer, respectively), evaluated the effectiveness of our disclosure controls and procedures as of September 30, 2026.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 rules and forms. Disclosure controls include, without limitation, controls and procedures designed to ensure that information required to be disclosed by a company on the reports that it files or submits under the Exchange Act is accumulated and communicated to management, including, our principal executive and principal financial officers, as appropriate, to allow timely decisions regarding required disclosure.</w:t>
      </w:r>
    </w:p>
    <w:p>
      <w:pPr>
        <w:spacing w:after="0" w:line="18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2026, our chief executive officer and chief financial officer concluded that, as of such date, our disclosure controls and procedures were effective at the reasonable assurance level.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negative publicity and reputational harm and other factors.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You should carefully consider the risks and uncertainties described below together with all of the other information contained in this Quarterly Report on Form 10-Q, including our unaudited condensed consolidated financial statements and related notes appearing in this Quarterly Report on Form 10-Q and our audited consolidated financial statements and related notes included in our Annual Report, and the section of this Quarterly Report on Form 10-Q titled “Management’s Discussion and Analysis of Financial Condition and Results of Operations.” Negative consequences from these risks could harm our business, prospects, operating results and financial condition or cause the trading price of our common stock to decline. The risks and uncertainties described below are not the only ones we face. Additional risks and uncertainties not presently known to us or that we currently believe to be immaterial may also adversely affect our business. See “Cautionary Note Regarding Forward-Looking Statements.”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Merger</w:t>
      </w:r>
    </w:p>
    <w:p>
      <w:pPr>
        <w:spacing w:after="0" w:line="2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Failure to complete, or delays in completing, the proposed Merger with Avenzo could materially and adversely affect our results of operations, business, financial results and/or stock price.</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Any failure to satisfy a required condition to closing may prevent, delay or otherwise materially and adversely affect the completion of the Merger, which could materially and adversely affect our results of operations, business, financial results and/or stock price. We cannot predict with certainty whether or when any of the required closing conditions will be satisfied or if another uncertainty may arise and cannot assure you that the proposed Merger will be successfully consummated or that we will be able to successfully consummate the proposed Merger as currently contemplated under the Merger Agreement or at all.</w:t>
      </w:r>
    </w:p>
    <w:p>
      <w:pPr>
        <w:spacing w:after="0" w:line="210" w:lineRule="exact"/>
        <w:rPr>
          <w:sz w:val="20"/>
          <w:szCs w:val="20"/>
          <w:color w:val="auto"/>
        </w:rPr>
      </w:pPr>
    </w:p>
    <w:p>
      <w:pPr>
        <w:ind w:right="20"/>
        <w:spacing w:after="0" w:line="318" w:lineRule="auto"/>
        <w:rPr>
          <w:sz w:val="20"/>
          <w:szCs w:val="20"/>
          <w:color w:val="auto"/>
        </w:rPr>
      </w:pPr>
      <w:r>
        <w:rPr>
          <w:rFonts w:ascii="Arial" w:cs="Arial" w:eastAsia="Arial" w:hAnsi="Arial"/>
          <w:sz w:val="17"/>
          <w:szCs w:val="17"/>
          <w:color w:val="auto"/>
        </w:rPr>
        <w:t>Even if certain of the proposals in the Merger Agreement are approved by our stockholders, specified conditions must be satisfied or, to the extent permitted by applicable law, waived to complete the Merger. We cannot assure you that all of the conditions will be satisfied or waived.</w:t>
      </w:r>
    </w:p>
    <w:p>
      <w:pPr>
        <w:spacing w:after="0" w:line="15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Risks related to the failure to consummate, or delay in consummating, the proposed Merger with Avenzo include, but are not limited to, the following:</w:t>
      </w:r>
    </w:p>
    <w:p>
      <w:pPr>
        <w:spacing w:after="0" w:line="180" w:lineRule="exact"/>
        <w:rPr>
          <w:sz w:val="20"/>
          <w:szCs w:val="20"/>
          <w:color w:val="auto"/>
        </w:rPr>
      </w:pPr>
    </w:p>
    <w:p>
      <w:pPr>
        <w:ind w:left="660" w:right="20" w:hanging="328"/>
        <w:spacing w:after="0" w:line="287" w:lineRule="auto"/>
        <w:tabs>
          <w:tab w:leader="none" w:pos="6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would not realize any or all of the potential benefits of the Merger, which could have a negative effect on our results of operations, business or stock price;</w:t>
      </w:r>
    </w:p>
    <w:p>
      <w:pPr>
        <w:spacing w:after="0" w:line="179" w:lineRule="exact"/>
        <w:rPr>
          <w:rFonts w:ascii="Arial" w:cs="Arial" w:eastAsia="Arial" w:hAnsi="Arial"/>
          <w:sz w:val="18"/>
          <w:szCs w:val="18"/>
          <w:color w:val="auto"/>
        </w:rPr>
      </w:pPr>
    </w:p>
    <w:p>
      <w:pPr>
        <w:ind w:left="660" w:right="260" w:hanging="328"/>
        <w:spacing w:after="0" w:line="287" w:lineRule="auto"/>
        <w:tabs>
          <w:tab w:leader="none" w:pos="6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 some circumstances, we may be required to pay a termination fee to Avenzo, with expense reimbursement credited against the payment of any such termination fee;</w:t>
      </w:r>
    </w:p>
    <w:p>
      <w:pPr>
        <w:spacing w:after="0" w:line="179" w:lineRule="exact"/>
        <w:rPr>
          <w:rFonts w:ascii="Arial" w:cs="Arial" w:eastAsia="Arial" w:hAnsi="Arial"/>
          <w:sz w:val="18"/>
          <w:szCs w:val="18"/>
          <w:color w:val="auto"/>
        </w:rPr>
      </w:pPr>
    </w:p>
    <w:p>
      <w:pPr>
        <w:ind w:left="660" w:right="140" w:hanging="328"/>
        <w:spacing w:after="0" w:line="287" w:lineRule="auto"/>
        <w:tabs>
          <w:tab w:leader="none" w:pos="6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would remain liable for significant transaction costs, including legal, accounting, financial advisory and other costs relating to the Merger regardless of whether the Merger is consummated;</w:t>
      </w:r>
    </w:p>
    <w:p>
      <w:pPr>
        <w:spacing w:after="0" w:line="179" w:lineRule="exact"/>
        <w:rPr>
          <w:rFonts w:ascii="Arial" w:cs="Arial" w:eastAsia="Arial" w:hAnsi="Arial"/>
          <w:sz w:val="18"/>
          <w:szCs w:val="18"/>
          <w:color w:val="auto"/>
        </w:rPr>
      </w:pPr>
    </w:p>
    <w:p>
      <w:pPr>
        <w:ind w:left="660" w:right="60" w:hanging="328"/>
        <w:spacing w:after="0" w:line="287" w:lineRule="auto"/>
        <w:tabs>
          <w:tab w:leader="none" w:pos="6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trading price of our common stock may decline to the extent that the current market price for our common stock reflects a market assumption that the Merger will be completed;</w:t>
      </w:r>
    </w:p>
    <w:p>
      <w:pPr>
        <w:spacing w:after="0" w:line="179" w:lineRule="exact"/>
        <w:rPr>
          <w:rFonts w:ascii="Arial" w:cs="Arial" w:eastAsia="Arial" w:hAnsi="Arial"/>
          <w:sz w:val="18"/>
          <w:szCs w:val="18"/>
          <w:color w:val="auto"/>
        </w:rPr>
      </w:pPr>
    </w:p>
    <w:p>
      <w:pPr>
        <w:ind w:left="660" w:right="200" w:hanging="328"/>
        <w:spacing w:after="0" w:line="287" w:lineRule="auto"/>
        <w:tabs>
          <w:tab w:leader="none" w:pos="6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attention of our management and employees may have been diverted to the Merger rather than to our historical operations and the pursuit of other opportunities that could have been beneficial to us;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subject to litigation related to any failure to complete the Merger;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potentially lose key personnel during the pendency of the Merger; and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660" w:right="60" w:hanging="328"/>
        <w:spacing w:after="0" w:line="268" w:lineRule="auto"/>
        <w:tabs>
          <w:tab w:leader="none" w:pos="6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the Merger Agreement, we are subject to certain customary restrictions on the conduct of our business prior to completing the Merger, which restrictions could adversely affect our ability to conduct our business as we otherwise would have done if we were not subject to these restrictions.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occurrence of any of these events individually or in combination could materially and adversely affect our results of operations, business, and our common stock price, and we may lose some or all the intended benefits of the Merger.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substantially dependent on our remaining employees to facilitate the consummation of the Merger.</w:t>
      </w:r>
    </w:p>
    <w:p>
      <w:pPr>
        <w:spacing w:after="0" w:line="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ability to consummate a strategic transaction depends upon our ability to retain our remaining employees required to consummate such a transaction, the loss of whose services may adversely impact the ability to consummate such transaction. As of September 30, 2026, we had only 6 full-time employees. Our ability to successfully complete the Merger depends in large part on our ability to retain key personnel that are necessary to maintain our operations between now and the Effective Time. Despite our efforts to retain these employees, one or more may terminate their employment with us on short notice. Our cash conservation activities may yield other unintended consequences, such as reduced employee morale, which may cause remaining employees to seek alternative employment. The loss of the services of certain employees could potentially harm our ability to consummate the Merger, to run our day-to-day business operations, as well as to fulfill our reporting obligations as a public company.</w:t>
      </w:r>
    </w:p>
    <w:p>
      <w:pPr>
        <w:spacing w:after="0" w:line="21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The Exchange Ratio will not be adjusted based on the market price of our common stock, so the consideration at the closing of the Merger may have a greater or lesser value than at the time the Merger Agreement was signed.</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Exchange Ratio will not change based on changes in the trading price of our common stock. Therefore, if before the completion of the Merger, the market price of our common stock increases from the market price on the date of the Merger Agreement, Avenzo stockholders could then receive merger consideration with substantially higher value for their shares of Avenzo common stock than the parties had negotiated when they established the Exchange Ratio. The Merger Agreement does not include a price-based termination right. Immediately after the Merger, our securityholders as of immediately prior to the Merger are expected to own approximately 2.8% of the outstanding shares of the combined company and former Avenzo securityholders, including purchasers in the Concurrent Financing, are expected to own approximately 97.2% of the outstanding shares of the combined company, subject to certain assumptions, including, but not limited to, in each case, calculated on a fully diluted basis, using the treasury stock method, and subject to certain assumptions, including (i) a valuation for Rallybio of $15.0 million (calculated after giving effect to the expected payment of the distribution of Rallybio's pre Closing cash), (ii) a valuation for Avenzo of $300.0 million, and (iii) the relative capitalization of Rallybio and Avenzo.</w:t>
      </w:r>
    </w:p>
    <w:p>
      <w:pPr>
        <w:spacing w:after="0" w:line="21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The Merger may be completed even though a material adverse effect may result from the announcement of the Merger, industry-wide changes and/or other causes.</w:t>
      </w:r>
    </w:p>
    <w:p>
      <w:pPr>
        <w:spacing w:after="0" w:line="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general, either we or Avenzo can refuse to complete the Merger if there is a Rallybio Material Adverse Effect (as defined in the Merger Agreement) or a Company Material Adverse Effect (as defined in the Merger Agreement), as applicable, prior to the Closing. However, certain types of changes do not permit either party to refuse to complete the Merger, even if such change could be said to have a material adverse effect on us or Avenzo, including:</w:t>
      </w:r>
    </w:p>
    <w:p>
      <w:pPr>
        <w:spacing w:after="0" w:line="209" w:lineRule="exact"/>
        <w:rPr>
          <w:sz w:val="20"/>
          <w:szCs w:val="20"/>
          <w:color w:val="auto"/>
        </w:rPr>
      </w:pPr>
    </w:p>
    <w:p>
      <w:pPr>
        <w:ind w:left="660" w:right="40" w:hanging="328"/>
        <w:spacing w:after="0" w:line="287" w:lineRule="auto"/>
        <w:tabs>
          <w:tab w:leader="none" w:pos="6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business, political or economic conditions generally affecting the industry in which Rallybio or Avenzo operate, including with respect to the imposition of, or adjustments to, tariffs or other trade restrictions;</w:t>
      </w:r>
    </w:p>
    <w:p>
      <w:pPr>
        <w:spacing w:after="0" w:line="179" w:lineRule="exact"/>
        <w:rPr>
          <w:rFonts w:ascii="Arial" w:cs="Arial" w:eastAsia="Arial" w:hAnsi="Arial"/>
          <w:sz w:val="18"/>
          <w:szCs w:val="18"/>
          <w:color w:val="auto"/>
        </w:rPr>
      </w:pPr>
    </w:p>
    <w:p>
      <w:pPr>
        <w:ind w:left="660" w:right="540" w:hanging="328"/>
        <w:spacing w:after="0" w:line="268" w:lineRule="auto"/>
        <w:tabs>
          <w:tab w:leader="none" w:pos="6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acts of war, the outbreak or escalation of armed hostilities, acts of terrorism, earthquakes, wildfires, hurricanes or other natural disasters, health emergencies, including pandemics and related or associated epidemics, disease outbreaks or quarantine restrictions;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financial, banking or securities markets;</w:t>
      </w:r>
    </w:p>
    <w:p>
      <w:pPr>
        <w:spacing w:after="0" w:line="252" w:lineRule="exact"/>
        <w:rPr>
          <w:rFonts w:ascii="Arial" w:cs="Arial" w:eastAsia="Arial" w:hAnsi="Arial"/>
          <w:sz w:val="18"/>
          <w:szCs w:val="18"/>
          <w:color w:val="auto"/>
        </w:rPr>
      </w:pPr>
    </w:p>
    <w:p>
      <w:pPr>
        <w:ind w:left="660" w:right="100" w:hanging="328"/>
        <w:spacing w:after="0" w:line="287" w:lineRule="auto"/>
        <w:tabs>
          <w:tab w:leader="none" w:pos="6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change in the stock price or trading volume of Rallybio Common Stock (it being understood, however, that any effect causing or contributing to any change in stock price or trading volume of</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360"/>
        <w:spacing w:after="0" w:line="287" w:lineRule="auto"/>
        <w:rPr>
          <w:sz w:val="20"/>
          <w:szCs w:val="20"/>
          <w:color w:val="auto"/>
        </w:rPr>
      </w:pPr>
      <w:r>
        <w:rPr>
          <w:rFonts w:ascii="Arial" w:cs="Arial" w:eastAsia="Arial" w:hAnsi="Arial"/>
          <w:sz w:val="18"/>
          <w:szCs w:val="18"/>
          <w:color w:val="auto"/>
        </w:rPr>
        <w:t>Rallybio Common Stock may be taken into account in determining whether a material adverse effect with respect to Rallybio has occurred, unless such effects are otherwise excepted from the definition of Rallybio Material Adverse Effect);</w:t>
      </w:r>
    </w:p>
    <w:p>
      <w:pPr>
        <w:spacing w:after="0" w:line="180" w:lineRule="exact"/>
        <w:rPr>
          <w:sz w:val="20"/>
          <w:szCs w:val="20"/>
          <w:color w:val="auto"/>
        </w:rPr>
      </w:pPr>
    </w:p>
    <w:p>
      <w:pPr>
        <w:ind w:left="660" w:right="60" w:hanging="328"/>
        <w:spacing w:after="0" w:line="282" w:lineRule="auto"/>
        <w:tabs>
          <w:tab w:leader="none" w:pos="656"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failure by Rallybio to meet internal or analysts’ expectations or projections or the results of operations of Rallybio (it being understood, however, that any effect causing or contributing to the failure of Rallybio to meet internal or analysts’ expectations or projections or the results of operations of Rallybio may be taken into account in determining whether a material adverse effect with respect to Rallybio has occurred, unless such effects are otherwise excepted from the definition of Rallybio Material Adverse Effect);</w:t>
      </w:r>
    </w:p>
    <w:p>
      <w:pPr>
        <w:spacing w:after="0" w:line="188" w:lineRule="exact"/>
        <w:rPr>
          <w:rFonts w:ascii="Arial" w:cs="Arial" w:eastAsia="Arial" w:hAnsi="Arial"/>
          <w:sz w:val="17"/>
          <w:szCs w:val="17"/>
          <w:color w:val="auto"/>
        </w:rPr>
      </w:pPr>
    </w:p>
    <w:p>
      <w:pPr>
        <w:ind w:left="660" w:right="1000" w:hanging="328"/>
        <w:spacing w:after="0" w:line="287" w:lineRule="auto"/>
        <w:tabs>
          <w:tab w:leader="none" w:pos="6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change in, or any compliance with or action taken for the purpose of complying with, any applicable law or GAAP (or interpretations of any applicable law or GAAP);</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announcement of the Merger Agreement or the pendency of the Contemplated Transactions;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taking of any action required to be taken by the Merger Agreement.</w:t>
      </w:r>
    </w:p>
    <w:p>
      <w:pPr>
        <w:spacing w:after="0" w:line="252"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If a material adverse change occurs with respect to either party or both parties and we and Avenzo still complete the Merger, the stock price of the combined company following the Closing may suffer and may reduce the value of the Merger to the stockholders of Rallybio, Avenzo or both.</w:t>
      </w:r>
    </w:p>
    <w:p>
      <w:pPr>
        <w:spacing w:after="0" w:line="186" w:lineRule="exact"/>
        <w:rPr>
          <w:sz w:val="20"/>
          <w:szCs w:val="20"/>
          <w:color w:val="auto"/>
        </w:rPr>
      </w:pPr>
    </w:p>
    <w:p>
      <w:pPr>
        <w:ind w:right="380"/>
        <w:spacing w:after="0" w:line="244" w:lineRule="auto"/>
        <w:rPr>
          <w:sz w:val="20"/>
          <w:szCs w:val="20"/>
          <w:color w:val="auto"/>
        </w:rPr>
      </w:pPr>
      <w:r>
        <w:rPr>
          <w:rFonts w:ascii="Arial" w:cs="Arial" w:eastAsia="Arial" w:hAnsi="Arial"/>
          <w:sz w:val="18"/>
          <w:szCs w:val="18"/>
          <w:b w:val="1"/>
          <w:bCs w:val="1"/>
          <w:i w:val="1"/>
          <w:iCs w:val="1"/>
          <w:color w:val="auto"/>
        </w:rPr>
        <w:t>Some of our executive officers and directors have interests in the Merger that are different from our stockholders and that may influence them to support or approve the Merger without regard to the interests of our stockholders.</w:t>
      </w:r>
    </w:p>
    <w:p>
      <w:pPr>
        <w:ind w:right="140"/>
        <w:spacing w:after="0" w:line="234" w:lineRule="auto"/>
        <w:rPr>
          <w:sz w:val="20"/>
          <w:szCs w:val="20"/>
          <w:color w:val="auto"/>
        </w:rPr>
      </w:pPr>
      <w:r>
        <w:rPr>
          <w:rFonts w:ascii="Arial" w:cs="Arial" w:eastAsia="Arial" w:hAnsi="Arial"/>
          <w:sz w:val="18"/>
          <w:szCs w:val="18"/>
          <w:color w:val="auto"/>
        </w:rPr>
        <w:t>Certain of our executive officers and directors of Rallybio are parties to arrangements that provide them with interests in the Merger that are different from our stockholders, including severance benefits, the acceleration of equity award vesting and continued indemnification. The Board was aware of and considered these interests, among other matters, in reaching its determination (i) that the terms of the Merger Agreement and the Merger and the other Contemplated Transactions are fair to, advisable and in the best interest of Rallybio and its</w:t>
      </w:r>
    </w:p>
    <w:p>
      <w:pPr>
        <w:spacing w:after="0" w:line="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stockholders; and (ii) to approve and declare advisable the Merger Agreement and the Contemplated Transactions, including the Merger and the issuance of shares of Rallybio common stock to the stockholders of Avenzo pursuant to the Merger Agreement.</w:t>
      </w:r>
    </w:p>
    <w:p>
      <w:pPr>
        <w:spacing w:after="0" w:line="210" w:lineRule="exact"/>
        <w:rPr>
          <w:sz w:val="20"/>
          <w:szCs w:val="20"/>
          <w:color w:val="auto"/>
        </w:rPr>
      </w:pPr>
    </w:p>
    <w:p>
      <w:pPr>
        <w:ind w:right="500"/>
        <w:spacing w:after="0" w:line="244" w:lineRule="auto"/>
        <w:rPr>
          <w:sz w:val="20"/>
          <w:szCs w:val="20"/>
          <w:color w:val="auto"/>
        </w:rPr>
      </w:pPr>
      <w:r>
        <w:rPr>
          <w:rFonts w:ascii="Arial" w:cs="Arial" w:eastAsia="Arial" w:hAnsi="Arial"/>
          <w:sz w:val="18"/>
          <w:szCs w:val="18"/>
          <w:b w:val="1"/>
          <w:bCs w:val="1"/>
          <w:i w:val="1"/>
          <w:iCs w:val="1"/>
          <w:color w:val="auto"/>
        </w:rPr>
        <w:t>Our stockholders may not realize a benefit from the Merger commensurate with the ownership dilution they will experience in connection with the Merger.</w:t>
      </w:r>
    </w:p>
    <w:p>
      <w:pPr>
        <w:ind w:right="200"/>
        <w:spacing w:after="0"/>
        <w:rPr>
          <w:sz w:val="20"/>
          <w:szCs w:val="20"/>
          <w:color w:val="auto"/>
        </w:rPr>
      </w:pPr>
      <w:r>
        <w:rPr>
          <w:rFonts w:ascii="Arial" w:cs="Arial" w:eastAsia="Arial" w:hAnsi="Arial"/>
          <w:sz w:val="18"/>
          <w:szCs w:val="18"/>
          <w:color w:val="auto"/>
        </w:rPr>
        <w:t>If the combined company is unable to realize the full strategic and financial benefits currently anticipated from the Merger, our stockholders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Merger.</w:t>
      </w:r>
    </w:p>
    <w:p>
      <w:pPr>
        <w:spacing w:after="0" w:line="209" w:lineRule="exact"/>
        <w:rPr>
          <w:sz w:val="20"/>
          <w:szCs w:val="20"/>
          <w:color w:val="auto"/>
        </w:rPr>
      </w:pPr>
    </w:p>
    <w:p>
      <w:pPr>
        <w:jc w:val="both"/>
        <w:ind w:right="120"/>
        <w:spacing w:after="0"/>
        <w:rPr>
          <w:sz w:val="20"/>
          <w:szCs w:val="20"/>
          <w:color w:val="auto"/>
        </w:rPr>
      </w:pPr>
      <w:r>
        <w:rPr>
          <w:rFonts w:ascii="Arial" w:cs="Arial" w:eastAsia="Arial" w:hAnsi="Arial"/>
          <w:sz w:val="18"/>
          <w:szCs w:val="18"/>
          <w:b w:val="1"/>
          <w:bCs w:val="1"/>
          <w:i w:val="1"/>
          <w:iCs w:val="1"/>
          <w:color w:val="auto"/>
        </w:rPr>
        <w:t>Our equityholders will have a reduced ownership and voting interest in, and will exercise less influence over the management of, the combined company following the completion of the Merger as compared to their current ownership and voting interests in the respective companies.</w:t>
      </w:r>
    </w:p>
    <w:p>
      <w:pPr>
        <w:spacing w:after="0" w:line="3"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After the completion of the Merger, our current stockholders will own a smaller percentage of the combined company than their ownership of Rallybio prior to the Merger. Immediately after the Closing, on a pro forma basis and based upon the number of shares of Rallybio Common</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Stock expected to be issued in connection with the Merger, pre-Merger equityholders of Avenzo (other than investors in the Concurrent Financing) are expected to own approximately 56.6% of the combined company, pre-Merger equityholders of Rallybio are expected to own</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approximately 2.8% of the combined company and the investors in the Concurrent Financing are expected to own approximately 40.6% (assuming proceeds from the Concurrent Financing of $215.0 million), in each case, calculated on a fully diluted basis, using the treasury stock method, and subject to certain assumptions, including (i) a valuation for Rallybio of $15.0 million (calculated after giving effect to expected payment of Parent Distributions), (ii) a fixed valuation for Avenzo of $300.0 million, and (iii) the relative capitalization of Rallybio and Avenzo.</w:t>
      </w:r>
    </w:p>
    <w:p>
      <w:pPr>
        <w:spacing w:after="0" w:line="209"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b w:val="1"/>
          <w:bCs w:val="1"/>
          <w:i w:val="1"/>
          <w:iCs w:val="1"/>
          <w:color w:val="auto"/>
        </w:rPr>
        <w:t>The amount of the Rallybio Distributions is uncertain and may be less than currently anticipated, or the Rallybio Distributions may not be made at all.</w:t>
      </w:r>
    </w:p>
    <w:p>
      <w:pPr>
        <w:ind w:right="140"/>
        <w:spacing w:after="0" w:line="250" w:lineRule="auto"/>
        <w:rPr>
          <w:sz w:val="20"/>
          <w:szCs w:val="20"/>
          <w:color w:val="auto"/>
        </w:rPr>
      </w:pPr>
      <w:r>
        <w:rPr>
          <w:rFonts w:ascii="Arial" w:cs="Arial" w:eastAsia="Arial" w:hAnsi="Arial"/>
          <w:sz w:val="18"/>
          <w:szCs w:val="18"/>
          <w:color w:val="auto"/>
        </w:rPr>
        <w:t>In connection with the Merger, the Board will declare one or more Rallybio Distributions payable to holders of Rallybio common stock and, if applicable, securities convertible into or exchangeable or exercisable for shares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of Rallybio common stock, in an aggregate amount not to exceed the amount by which Rallybio Net Cash equals or exceeds $0. The amount of Rallybio Net Cash available for the Rallybio Distributions is subject to numerous factors, many of which are outside of our control, including the amount of our transaction expenses, the costs of any tail policy associated with our directors’ and officers’ insurance, lease termination costs, payments required to terminate existing agreements, expenses associated with the wind-down of our prior research and development activities, payroll taxes associated with the Rallybio Distributions, severance or change-in-control payments, and other accrued or contingent liabilities. We expect to continue to incur losses in future periods primarily related to the proposed Merger and, as a result, available cash and</w:t>
      </w:r>
    </w:p>
    <w:p>
      <w:pPr>
        <w:spacing w:after="0" w:line="1"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cash equivalents will continue to decrease prior to the Closing. If these expenses and liabilities are greater than currently estimated, or if unforeseen liabilities arise, the amount available for the Rallybio Distributions will be reduced accordingly. There can be no assurance that</w:t>
      </w:r>
    </w:p>
    <w:p>
      <w:pPr>
        <w:spacing w:after="0" w:line="1" w:lineRule="exact"/>
        <w:rPr>
          <w:sz w:val="20"/>
          <w:szCs w:val="20"/>
          <w:color w:val="auto"/>
        </w:rPr>
      </w:pPr>
    </w:p>
    <w:p>
      <w:pPr>
        <w:ind w:right="680"/>
        <w:spacing w:after="0" w:line="250" w:lineRule="auto"/>
        <w:rPr>
          <w:sz w:val="20"/>
          <w:szCs w:val="20"/>
          <w:color w:val="auto"/>
        </w:rPr>
      </w:pPr>
      <w:r>
        <w:rPr>
          <w:rFonts w:ascii="Arial" w:cs="Arial" w:eastAsia="Arial" w:hAnsi="Arial"/>
          <w:sz w:val="18"/>
          <w:szCs w:val="18"/>
          <w:color w:val="auto"/>
        </w:rPr>
        <w:t>the aggregate amount of the Rallybio Distributions will equal the amount that our stockholders currently expect to receive, or that any Rallybio Distribution will be made at all.</w:t>
      </w:r>
    </w:p>
    <w:p>
      <w:pPr>
        <w:spacing w:after="0" w:line="201"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b w:val="1"/>
          <w:bCs w:val="1"/>
          <w:i w:val="1"/>
          <w:iCs w:val="1"/>
          <w:color w:val="auto"/>
        </w:rPr>
        <w:t>Lawsuits may be filed against us and the members of our Board arising out of the proposed Merger, which may delay or prevent the proposed Merger.</w:t>
      </w:r>
    </w:p>
    <w:p>
      <w:pPr>
        <w:ind w:right="60"/>
        <w:spacing w:after="0" w:line="239" w:lineRule="auto"/>
        <w:rPr>
          <w:sz w:val="20"/>
          <w:szCs w:val="20"/>
          <w:color w:val="auto"/>
        </w:rPr>
      </w:pPr>
      <w:r>
        <w:rPr>
          <w:rFonts w:ascii="Arial" w:cs="Arial" w:eastAsia="Arial" w:hAnsi="Arial"/>
          <w:sz w:val="18"/>
          <w:szCs w:val="18"/>
          <w:color w:val="auto"/>
        </w:rPr>
        <w:t>Putative stockholder complaints, including stockholder class action complaints, and other complaints may be filed against us, our Board and others in connection with the transactions contemplated by the Merger Agreement. The outcome of litigation is uncertain, and we may not be successful in defending against any such future claims. Lawsuits that may be filed against us, our board, Avenzo, or the Avenzo board could delay or prevent the Merger, divert the attention of our management and employees from our day-to-day business and otherwise adversely affect our financial condition.</w:t>
      </w:r>
    </w:p>
    <w:p>
      <w:pPr>
        <w:spacing w:after="0" w:line="209" w:lineRule="exact"/>
        <w:rPr>
          <w:sz w:val="20"/>
          <w:szCs w:val="20"/>
          <w:color w:val="auto"/>
        </w:rPr>
      </w:pPr>
    </w:p>
    <w:p>
      <w:pPr>
        <w:ind w:right="360"/>
        <w:spacing w:after="0" w:line="244" w:lineRule="auto"/>
        <w:rPr>
          <w:sz w:val="20"/>
          <w:szCs w:val="20"/>
          <w:color w:val="auto"/>
        </w:rPr>
      </w:pPr>
      <w:r>
        <w:rPr>
          <w:rFonts w:ascii="Arial" w:cs="Arial" w:eastAsia="Arial" w:hAnsi="Arial"/>
          <w:sz w:val="18"/>
          <w:szCs w:val="18"/>
          <w:b w:val="1"/>
          <w:bCs w:val="1"/>
          <w:i w:val="1"/>
          <w:iCs w:val="1"/>
          <w:color w:val="auto"/>
        </w:rPr>
        <w:t>During the pendency of the Merger Agreement, we may not be able to enter into a business combination with another party at a favorable price because of restrictions in the Merger Agreement, which could adversely affect our business.</w:t>
      </w:r>
    </w:p>
    <w:p>
      <w:pPr>
        <w:ind w:right="240"/>
        <w:spacing w:after="0"/>
        <w:rPr>
          <w:sz w:val="20"/>
          <w:szCs w:val="20"/>
          <w:color w:val="auto"/>
        </w:rPr>
      </w:pPr>
      <w:r>
        <w:rPr>
          <w:rFonts w:ascii="Arial" w:cs="Arial" w:eastAsia="Arial" w:hAnsi="Arial"/>
          <w:sz w:val="17"/>
          <w:szCs w:val="17"/>
          <w:color w:val="auto"/>
        </w:rPr>
        <w:t>Covenants in the Merger Agreement impede our ability to make acquisitions, subject to specified exceptions relating to fiduciary duties, or complete other mergers, sales of assets or other business combinations pending completion of the Merger. As a result, if the Merger is not</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completed, we may be at a disadvantage to our competitors during that period. In addition, while the Merger Agreement is in effect, we are generally prohibited from soliciting, initiating, knowingly encouraging or entering into specified extraordinary transactions, such as a merger, sale of assets or other business combination, with any third party, subject to specified exceptions, even if any such transaction could be favorable to our stockholders.</w:t>
      </w:r>
    </w:p>
    <w:p>
      <w:pPr>
        <w:spacing w:after="0" w:line="209" w:lineRule="exact"/>
        <w:rPr>
          <w:sz w:val="20"/>
          <w:szCs w:val="20"/>
          <w:color w:val="auto"/>
        </w:rPr>
      </w:pPr>
    </w:p>
    <w:p>
      <w:pPr>
        <w:ind w:right="780"/>
        <w:spacing w:after="0" w:line="244" w:lineRule="auto"/>
        <w:rPr>
          <w:sz w:val="20"/>
          <w:szCs w:val="20"/>
          <w:color w:val="auto"/>
        </w:rPr>
      </w:pPr>
      <w:r>
        <w:rPr>
          <w:rFonts w:ascii="Arial" w:cs="Arial" w:eastAsia="Arial" w:hAnsi="Arial"/>
          <w:sz w:val="18"/>
          <w:szCs w:val="18"/>
          <w:b w:val="1"/>
          <w:bCs w:val="1"/>
          <w:i w:val="1"/>
          <w:iCs w:val="1"/>
          <w:color w:val="auto"/>
        </w:rPr>
        <w:t>Certain provisions of the Merger Agreement may discourage third parties from submitting competing proposals, including proposals that may be superior to the arrangements contemplated by the Merger Agreement.</w:t>
      </w:r>
    </w:p>
    <w:p>
      <w:pPr>
        <w:ind w:right="100"/>
        <w:spacing w:after="0" w:line="234" w:lineRule="auto"/>
        <w:rPr>
          <w:sz w:val="20"/>
          <w:szCs w:val="20"/>
          <w:color w:val="auto"/>
        </w:rPr>
      </w:pPr>
      <w:r>
        <w:rPr>
          <w:rFonts w:ascii="Arial" w:cs="Arial" w:eastAsia="Arial" w:hAnsi="Arial"/>
          <w:sz w:val="18"/>
          <w:szCs w:val="18"/>
          <w:color w:val="auto"/>
        </w:rPr>
        <w:t>The terms of the Merger Agreement prohibit us from soliciting competing proposals or cooperating with persons making unsolicited takeover proposals, except in certain limited circumstances. Our Board may respond to an unsolicited competing proposal if it determines in good faith, after consultation with its outside financial advisor and outside legal counsel, that the unsolicited competing proposal constitutes, or is reasonably likely to result in, a superior competing proposal and, after consultation with its outside legal counsel, that failure to take such action would be inconsistent with the fiduciary duties of the Board. In certain circumstances, and subject to compliance with the Merger</w:t>
      </w:r>
    </w:p>
    <w:p>
      <w:pPr>
        <w:spacing w:after="0" w:line="3"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Agreement, our Board may change its recommendation to our stockholders if it determines such recommendation change is required to avoid a breach of its fiduciary duties.</w:t>
      </w:r>
    </w:p>
    <w:p>
      <w:pPr>
        <w:spacing w:after="0" w:line="20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Upon termination of the Merger Agreement in certain circumstances, a termination fee of $600,000 may be payable by us to Avenzo if (i)(a) the Merger Agreement is terminated because the Merger has not been consummated by the End Date (as defined in the Merger Agreement) or we (1) fail to obtain the requisite stockholder approval or (2) breach the Merger Agreement, (b) an alternative acquisition proposal was announced or disclosed prior to such termination, and (c) within 12 months of the termination of the Merger Agreement, we enter into a definitive agreement with respect to an alternative transaction or (ii) the Board of changes or withdraws its recommendation in favor of the Merger or approves an alternative transaction, or willfully and intentionally breaches its non-solicitation or certain other obligations under the Merger Agreement.</w:t>
      </w:r>
    </w:p>
    <w:p>
      <w:pPr>
        <w:spacing w:after="0" w:line="21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have also agreed to reimburse Avenzo for up to $750,000 for third-party expenses, as applicable, if the Merger Agreement is terminated in certain circumstances.</w:t>
      </w:r>
    </w:p>
    <w:p>
      <w:pPr>
        <w:spacing w:after="0" w:line="18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These termination fees and expense reimbursement provisions may discourage third parties from submitting competing proposals to us or our stockholders and may cause our Board to be less inclined to recommend a competing proposal.</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780"/>
        <w:spacing w:after="0" w:line="244" w:lineRule="auto"/>
        <w:rPr>
          <w:sz w:val="20"/>
          <w:szCs w:val="20"/>
          <w:color w:val="auto"/>
        </w:rPr>
      </w:pPr>
      <w:r>
        <w:rPr>
          <w:rFonts w:ascii="Arial" w:cs="Arial" w:eastAsia="Arial" w:hAnsi="Arial"/>
          <w:sz w:val="18"/>
          <w:szCs w:val="18"/>
          <w:b w:val="1"/>
          <w:bCs w:val="1"/>
          <w:i w:val="1"/>
          <w:iCs w:val="1"/>
          <w:color w:val="auto"/>
        </w:rPr>
        <w:t>We or Avenzo may waive one or more of the conditions to the Merger without recirculation of the related proxy statement/prospectus or resoliciting stockholder approval.</w:t>
      </w:r>
    </w:p>
    <w:p>
      <w:pPr>
        <w:spacing w:after="0"/>
        <w:rPr>
          <w:sz w:val="20"/>
          <w:szCs w:val="20"/>
          <w:color w:val="auto"/>
        </w:rPr>
      </w:pPr>
      <w:r>
        <w:rPr>
          <w:rFonts w:ascii="Arial" w:cs="Arial" w:eastAsia="Arial" w:hAnsi="Arial"/>
          <w:sz w:val="18"/>
          <w:szCs w:val="18"/>
          <w:color w:val="auto"/>
        </w:rPr>
        <w:t>Conditions to our or Avenzo’s obligations to complete the Merger may be waived, in whole or in part, to the extent permitted by law, in certain circumstances unilaterally or by agreement of us and Avenzo. In the event of a waiver of a condition, our Board will evaluate the materiality of any such waiver to determine whether amendment of the related proxy statement/prospectus and re-solicitation of stockholder approval is necessary.</w:t>
      </w:r>
    </w:p>
    <w:p>
      <w:pPr>
        <w:spacing w:after="0" w:line="20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the event that our Board, in its own reasonable discretion, determines any such waiver is not significant enough to require recirculation of the related proxy statement/prospectus and re-solicitation of our stockholders, it will have the discretion to complete the Merger without</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seeking further stockholder approval, which decision may have a material adverse effect on our stockholders. For example, if we and Avenzo agree to waive the requirement that the shares of Rallybio common stock to be issued in the Merger have been approved for listing (subject to official notice of issuance) on Nasdaq as of the Closing, and our respective boards of directors elect to proceed with the Closing, Nasdaq may notify the combined company of its determination to delist the combined company’s securities based upon the failure to satisfy the initial inclusion criteria in the Nasdaq application. The combined company may appeal the determination to a hearings panel but such appeal will not stay the suspension and delisting action and Nasdaq may notify the combined company that its common stock will be immediately suspended from trading and delisted.</w:t>
      </w:r>
    </w:p>
    <w:p>
      <w:pPr>
        <w:spacing w:after="0" w:line="21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b w:val="1"/>
          <w:bCs w:val="1"/>
          <w:i w:val="1"/>
          <w:iCs w:val="1"/>
          <w:color w:val="auto"/>
        </w:rPr>
        <w:t>Our winddown of our historical operations, the sale of assets, the suspension of development activities and the proposed Merger, resulting in the conversion of Avenzo into a public company, will make us subject to the SEC requirements applicable to reporting shell company business combinations. As a result, the combined company will be subject to more stringent reporting requirements, offering limitations and resale restrictions.</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According to SEC guidance, the requirements applicable to reporting shell company business combinations apply to any company that sells or otherwise disposes of its historical assets or operations in connection with or as part of a plan to combine with a non-shell private company</w:t>
      </w:r>
    </w:p>
    <w:p>
      <w:pPr>
        <w:spacing w:after="0" w:line="2"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in order to convert the private company into a public one. We have taken steps to winddown our general and administrative operations that will not be needed after Closing and expect to issue the Rallybio CVRs in connection with the Closing and, as such, our plan to merge with Avenzo, resulting in the conversion of Avenzo into a public company, will be subject to the SEC requirements applicable to reporting shell company business combinations, which are as follows:</w:t>
      </w:r>
    </w:p>
    <w:p>
      <w:pPr>
        <w:spacing w:after="0" w:line="221" w:lineRule="exact"/>
        <w:rPr>
          <w:sz w:val="20"/>
          <w:szCs w:val="20"/>
          <w:color w:val="auto"/>
        </w:rPr>
      </w:pPr>
    </w:p>
    <w:p>
      <w:pPr>
        <w:ind w:left="660" w:right="18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combined company will need to file a Current Report on Form 8-K to report the Form 10 type information (“Super 8-K”) after the Closing reflecting its status as an entity that is not a shell company;</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combined company will not be eligible to use a Form S-3 until 12 full calendar months after the Closing;</w:t>
      </w:r>
    </w:p>
    <w:p>
      <w:pPr>
        <w:spacing w:after="0" w:line="252" w:lineRule="exact"/>
        <w:rPr>
          <w:rFonts w:ascii="Arial" w:cs="Arial" w:eastAsia="Arial" w:hAnsi="Arial"/>
          <w:sz w:val="18"/>
          <w:szCs w:val="18"/>
          <w:color w:val="auto"/>
        </w:rPr>
      </w:pPr>
    </w:p>
    <w:p>
      <w:pPr>
        <w:ind w:left="660" w:right="30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combined company will need to wait at least 60 calendar days after the filing of the Super 8-K to file a Form S-8 for any equity plans or awards, such as the 2026 Plan and the 2026 ESPP;</w:t>
      </w:r>
    </w:p>
    <w:p>
      <w:pPr>
        <w:spacing w:after="0" w:line="179" w:lineRule="exact"/>
        <w:rPr>
          <w:rFonts w:ascii="Arial" w:cs="Arial" w:eastAsia="Arial" w:hAnsi="Arial"/>
          <w:sz w:val="18"/>
          <w:szCs w:val="18"/>
          <w:color w:val="auto"/>
        </w:rPr>
      </w:pPr>
    </w:p>
    <w:p>
      <w:pPr>
        <w:ind w:left="660" w:right="200" w:hanging="328"/>
        <w:spacing w:after="0" w:line="26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combined company will be an “ineligible issuer” for three years following the Closing, which will prevent the combined company from (i) incorporating by reference in its Form S-1 filings, (ii) using a free writing prospectus or (iii) taking advantage of the well-known seasoned issuer (“WKSI”) status, even if otherwise eligible based on its public float;</w:t>
      </w:r>
    </w:p>
    <w:p>
      <w:pPr>
        <w:spacing w:after="0" w:line="197" w:lineRule="exact"/>
        <w:rPr>
          <w:rFonts w:ascii="Arial" w:cs="Arial" w:eastAsia="Arial" w:hAnsi="Arial"/>
          <w:sz w:val="18"/>
          <w:szCs w:val="18"/>
          <w:color w:val="auto"/>
        </w:rPr>
      </w:pPr>
    </w:p>
    <w:p>
      <w:pPr>
        <w:jc w:val="both"/>
        <w:ind w:left="660" w:right="60" w:hanging="328"/>
        <w:spacing w:after="0" w:line="26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investors who (i) were affiliates of Avenzo at the time the Merger was submitted for the vote or consent of Avenzo’s stockholders, (ii) receive securities of the combined company in the Merger and (iii) publicly offer or sell such securities will be deemed to be engaged in a distribution of such securities, and therefore would be underwriters with respect to resales of those securities; and</w:t>
      </w:r>
    </w:p>
    <w:p>
      <w:pPr>
        <w:spacing w:after="0" w:line="197"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Rule 144(i)(2) will limit the ability of holders of restricted securities, and any affiliates of the public company to publicly resell Rule 145(c) securities per Rule 145(d), as well as any other “restricted” or “control” securities of the combined company per Rule 144, until one year after the Form 10 information is filed with the SEC. Non-affiliate Rallybio stockholders prior to the Merger will not be subject to such restrictions on public resales of their shares.</w:t>
      </w:r>
    </w:p>
    <w:p>
      <w:pPr>
        <w:spacing w:after="0" w:line="190"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The foregoing SEC requirements will increase the combined company’s time and cost of raising capital, offering stock under equity plans, and complying with securities laws. Furthermore, such requirements will add burdensome restrictions on the resale of the combined company common stock by affiliates of Avenzo and any holders of “restricted” or “control” securities of the combined company.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b w:val="1"/>
          <w:bCs w:val="1"/>
          <w:i w:val="1"/>
          <w:iCs w:val="1"/>
          <w:color w:val="auto"/>
        </w:rPr>
        <w:t xml:space="preserve">Our equityholders may not receive any payment on the Rallybio CVRs and the Rallybio CVRs may otherwise expire valueless. </w:t>
      </w:r>
      <w:r>
        <w:rPr>
          <w:rFonts w:ascii="Arial" w:cs="Arial" w:eastAsia="Arial" w:hAnsi="Arial"/>
          <w:sz w:val="18"/>
          <w:szCs w:val="18"/>
          <w:color w:val="auto"/>
        </w:rPr>
        <w:t>The right of our equityholders to receive any future payment for or derive any value from the Rallybio CVRs will be contingent solely upon (i) our and Avenzo’s (or the combined company’s) ability to monetize all or any part of the Legacy Assets pursuant to one or more disposition agreements entered into within the time period specified in the Rallybio CVR Agreement, and the timing and amount of the consideration received thereunder and (ii) the receipt of cash proceeds from Recursion under the ENPP1 Purchase Agreement. If we and/or Avenzo or the combined company (x) are not successful in entering into disposition agreements related to the Legacy Assets or receiving payments</w:t>
      </w:r>
    </w:p>
    <w:p>
      <w:pPr>
        <w:spacing w:after="0" w:line="5"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thereunder, or if such payments are not sufficient to result in the payment of any Rallybio CVR Payments as a result of permitted deductions thereto and (y) do not receive cash proceeds from Recursion pursuant to the ENPP1 Purchase Agreement, in each case within the time</w:t>
      </w:r>
    </w:p>
    <w:p>
      <w:pPr>
        <w:spacing w:after="0" w:line="1"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period specified in the Rallybio CVR Agreement, no payments will be made in respect of the Rallybio CVRs, and the Rallybio CVRs will expire valueless.</w:t>
      </w:r>
    </w:p>
    <w:p>
      <w:pPr>
        <w:spacing w:after="0" w:line="19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Following the effective time, the combined company will have sole authority over whether and how to monetize the Legacy Assets (if at all), and the combined company’s only obligations will be to carry out the obligations set forth in the Rallybio CVR Agreement.</w:t>
      </w:r>
    </w:p>
    <w:p>
      <w:pPr>
        <w:spacing w:after="0" w:line="181"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Furthermore, the Rallybio CVRs will be unsecured obligations of the combined company and all payments under the Rallybio CVRs and all other obligations under the Rallybio CVR Agreement and the Rallybio CVRs and any rights or claims relating thereto will be subordinated in right of payment to the prior payment in full of all current or future senior obligations of the combined company.</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if we continue to progress the development of our product candidates, we will continue to incur losses in the foreseeable future. We have not commercialized any products and have never generated revenue from the commercialization of any product. We are not currently profitable, and we may never achieve or sustain profitability.</w:t>
      </w:r>
    </w:p>
    <w:p>
      <w:pPr>
        <w:spacing w:after="0" w:line="252" w:lineRule="auto"/>
        <w:rPr>
          <w:sz w:val="20"/>
          <w:szCs w:val="20"/>
          <w:color w:val="auto"/>
        </w:rPr>
      </w:pPr>
      <w:r>
        <w:rPr>
          <w:rFonts w:ascii="Arial" w:cs="Arial" w:eastAsia="Arial" w:hAnsi="Arial"/>
          <w:sz w:val="18"/>
          <w:szCs w:val="18"/>
          <w:color w:val="auto"/>
        </w:rPr>
        <w:t>We have incurred significant operating losses since inception, including operating losses of $3.4 million and $6.9 million for the three months ended September 30, 2026 and 2025, respectively and $17.8 million and $26.7 million for the nine months ended September 30, 2026 and 2025, respectively. The increase in total other income of $27.5 million was a result of the termination of the Candid Merger Agreement on May 4, 2026 and the payment of the related termination fee, offset by other income from the gain on sale of the JV in July 2025 . As of September 30, 2026, we had an accumulated deficit of $269.3 million. Investment in biopharmaceutical product development is highly speculative because it entails substantial upfront capital expenditures and significant risk that any potential product candidate will fail to gain regulatory approval and become commercially viable. Since inception, we have devoted substantially all of our resources to raising capital, conducting discovery and research activities, acquiring product candidates, establishing and protecting our intellectual property, preparing for and conducting clinical trials, and establishing arrangements with third parties for the manufacture of our product candidates. We do not have any product candidates approved for sale and have not generated any revenue from product sales.</w:t>
      </w:r>
    </w:p>
    <w:p>
      <w:pPr>
        <w:spacing w:after="0" w:line="19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If we continue to progress the development of our product candidates, we expect to incur significant additional operating losses in the foreseeable future as we advance our programs and operate our business. The costs of advancing product candidates through each clinical phase tend to increase substantially over the duration of the clinical development process. The total costs to advance a single product candidate to marketing approval in even a single jurisdiction are substantial. Because of the numerous risks and uncertainties associated</w:t>
      </w:r>
    </w:p>
    <w:p>
      <w:pPr>
        <w:ind w:right="40"/>
        <w:spacing w:after="0" w:line="226" w:lineRule="auto"/>
        <w:rPr>
          <w:sz w:val="20"/>
          <w:szCs w:val="20"/>
          <w:color w:val="auto"/>
        </w:rPr>
      </w:pPr>
      <w:r>
        <w:rPr>
          <w:rFonts w:ascii="Arial" w:cs="Arial" w:eastAsia="Arial" w:hAnsi="Arial"/>
          <w:sz w:val="18"/>
          <w:szCs w:val="18"/>
          <w:color w:val="auto"/>
        </w:rPr>
        <w:t>with pharmaceutical product development, we are unable to accurately predict the timing or amount of increased expenses or when, or if, we will be able to generate revenue from the commercialization of any product candidates or achieve or maintain profitability. Our expenses will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increase substantially if and as we:</w:t>
      </w:r>
    </w:p>
    <w:p>
      <w:pPr>
        <w:spacing w:after="0" w:line="234" w:lineRule="exact"/>
        <w:rPr>
          <w:sz w:val="20"/>
          <w:szCs w:val="20"/>
          <w:color w:val="auto"/>
        </w:rPr>
      </w:pPr>
    </w:p>
    <w:p>
      <w:pPr>
        <w:ind w:left="660" w:right="160" w:hanging="328"/>
        <w:spacing w:after="0" w:line="287" w:lineRule="auto"/>
        <w:tabs>
          <w:tab w:leader="none" w:pos="6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plan for and conduct any future clinical trials for any of our product candidates, including the ongoing RLYB116 confirmatory clinical PK/PD trial;</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approvals for RLYB116 and any other product candidates;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advance our discovery and preclinical development activities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discover and develop additional product candidates;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hire additional clinical, scientific, and commercial personnel;</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product candidates or technologies;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and protect our intellectual property portfolio;</w:t>
      </w:r>
    </w:p>
    <w:p>
      <w:pPr>
        <w:spacing w:after="0" w:line="251" w:lineRule="exact"/>
        <w:rPr>
          <w:rFonts w:ascii="Times New Roman" w:cs="Times New Roman" w:eastAsia="Times New Roman" w:hAnsi="Times New Roman"/>
          <w:sz w:val="18"/>
          <w:szCs w:val="18"/>
          <w:color w:val="auto"/>
        </w:rPr>
      </w:pPr>
    </w:p>
    <w:p>
      <w:pPr>
        <w:ind w:left="660" w:right="360" w:hanging="328"/>
        <w:spacing w:after="0" w:line="286" w:lineRule="auto"/>
        <w:tabs>
          <w:tab w:leader="none" w:pos="656"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secure manufacturing sources and supply chain capacity sufficient to produce adequate clinical and commercial quantities of our product candidates; and</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and distribution infrastructure to commercialize our products, if approved.</w:t>
      </w:r>
    </w:p>
    <w:p>
      <w:pPr>
        <w:spacing w:after="0" w:line="25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do not know when or whether we will become profitable. Our ability to generate revenue and become profitable depends upon our ability to successfully complete the development of our product candidates and to obtain the necessary regulatory approvals for their commercialization, which is subject to substantial additional risks and uncertainties, as described under “— Risks Related to Discovery, Development, Clinical Testing, Manufacturing, and Regulatory Approval.”</w:t>
      </w:r>
    </w:p>
    <w:p>
      <w:pPr>
        <w:spacing w:after="0" w:line="190"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Each of our product candidates will require additional preclinical and/or clinical development, regulatory approval in multiple jurisdictions, the securing of clinical and commercial manufacturing supply, the building of a commercial organization, and substantial investment before we generate any revenue from product sales. As a result, if we continue to progress the development of our product candidates, we expect to continue to incur net losses and negative cash flows in the foreseeable future. These net losses and negative cash flows have had, and will continue to have, an adverse effect on our stockholders’ equity and working capital. The amount of our future net losses will depend, in part, on the rate of future growth of our expenses and our ability to generate revenues. If we are unable to develop and commercialize one or</w:t>
      </w:r>
    </w:p>
    <w:p>
      <w:pPr>
        <w:spacing w:after="0" w:line="2"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more product candidates, either alone or through current or future collaborations, or if revenues from any product that receives marketing approval are insufficient, we will not achieve profitability. Even if we successfully commercialize RLYB116 or any of our other product</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candidates, we may continue to incur substantial research and development and other expenses to develop other current or future product candidates. Even if we do achieve profitability, we may not be able to sustain or increase profitability on a quarterly or annual basis or meet outside expectations for our profitability. Our failure to become and remain profitable would decrease the value of the Company and could impair our ability to raise capital, maintain our research and development efforts, expand our business, execute our business plan or continue our operations.</w:t>
      </w:r>
    </w:p>
    <w:p>
      <w:pPr>
        <w:spacing w:after="0" w:line="222"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b w:val="1"/>
          <w:bCs w:val="1"/>
          <w:i w:val="1"/>
          <w:iCs w:val="1"/>
          <w:color w:val="auto"/>
        </w:rPr>
        <w:t>If we continue to progress the development of our product candidates, we will require significant additional capital to fund our operations. If we continue to progress the development of our product candidates and fail to obtain necessary financing, we may not be able to complete the development or commercialization of RLYB116 or any other product candidate. Given our limited resources and access to capital, we may decide to prioritize development of certain product candidates, the choice of which may prove to be wrong and adversely affect our business.</w:t>
      </w:r>
    </w:p>
    <w:p>
      <w:pPr>
        <w:ind w:right="120"/>
        <w:spacing w:after="0" w:line="238" w:lineRule="auto"/>
        <w:rPr>
          <w:sz w:val="20"/>
          <w:szCs w:val="20"/>
          <w:color w:val="auto"/>
        </w:rPr>
      </w:pPr>
      <w:r>
        <w:rPr>
          <w:rFonts w:ascii="Arial" w:cs="Arial" w:eastAsia="Arial" w:hAnsi="Arial"/>
          <w:sz w:val="18"/>
          <w:szCs w:val="18"/>
          <w:color w:val="auto"/>
        </w:rPr>
        <w:t>If we continue to progress the development of our product candidates, we expect to spend significant amounts of capital to complete the development of, and if approved, commercialize, one or more product candidates, including RLYB116. We are obligated to make certain payments under our agreements with Affibody AB ("Affibody"), Swedish Orphan Biovitrum AB (Publ) ("Sobi"), and Kymab Limited ("Sanofi"), including milestone and royalty payments in connection with achievement of certain development and commercial milestones as well as the sale of resulting products under such agreements. We may also spend significant capital to develop laboratory tests to identify patients for inclusion in our clinical trials or who are likely to respond to our product candidates.</w:t>
      </w:r>
    </w:p>
    <w:p>
      <w:pPr>
        <w:spacing w:after="0" w:line="208"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If we continue to progress the development of our product candidates, we believe that our existing cash and cash equivalents as of September 30, 2026, will be sufficient to fund our operating expenses and capital expenditure requirements for at least 12 months beyond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date of the filing of this Quarterly Report on Form 10-Q. This estimate and our expectation to advance the preclinical and clinical development of RLYB116 and any other product candidates are based on assumptions that may prove to be wrong, or we may be subject to changing circumstances. We could exhaust our available capital resources sooner than we expect. Our business is subject to numerous risks and uncertainties, and we may be unable to accurately estimate the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actual amount of funds we will require for development and commercialization of our product candidates. Our future capital requirements, both near and long-term, will depend on many factors, including, but not limited to:</w:t>
      </w:r>
    </w:p>
    <w:p>
      <w:pPr>
        <w:spacing w:after="0" w:line="19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progress, timing, costs and results of our clinical trials through all phases of development;</w:t>
      </w:r>
    </w:p>
    <w:p>
      <w:pPr>
        <w:spacing w:after="0" w:line="251" w:lineRule="exact"/>
        <w:rPr>
          <w:rFonts w:ascii="Times New Roman" w:cs="Times New Roman" w:eastAsia="Times New Roman" w:hAnsi="Times New Roman"/>
          <w:sz w:val="18"/>
          <w:szCs w:val="18"/>
          <w:color w:val="auto"/>
        </w:rPr>
      </w:pPr>
    </w:p>
    <w:p>
      <w:pPr>
        <w:ind w:left="660" w:right="220" w:hanging="328"/>
        <w:spacing w:after="0" w:line="268" w:lineRule="auto"/>
        <w:tabs>
          <w:tab w:leader="none" w:pos="656"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timing and cost of meeting regulatory requirements established by the FDA, EMA, and other comparable foreign regulatory authorities, including any regulatory designations allowing for priority review and any additional clinical trials required by the FDA, EMA or other comparable foreign regulatory authorities;</w:t>
      </w:r>
    </w:p>
    <w:p>
      <w:pPr>
        <w:spacing w:after="0" w:line="196" w:lineRule="exact"/>
        <w:rPr>
          <w:rFonts w:ascii="Times New Roman" w:cs="Times New Roman" w:eastAsia="Times New Roman" w:hAnsi="Times New Roman"/>
          <w:sz w:val="18"/>
          <w:szCs w:val="18"/>
          <w:color w:val="auto"/>
        </w:rPr>
      </w:pPr>
    </w:p>
    <w:p>
      <w:pPr>
        <w:ind w:left="660" w:right="60" w:hanging="328"/>
        <w:spacing w:after="0" w:line="268" w:lineRule="auto"/>
        <w:tabs>
          <w:tab w:leader="none" w:pos="656"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FDA, EMA and other comparable foreign regulatory authorities to accept our clinical trial designs, as well as data from our completed and planned preclinical studies and clinical trials, as the basis for review and approval of RLYB116 and any other product candidates;</w:t>
      </w:r>
    </w:p>
    <w:p>
      <w:pPr>
        <w:spacing w:after="0" w:line="196" w:lineRule="exact"/>
        <w:rPr>
          <w:rFonts w:ascii="Times New Roman" w:cs="Times New Roman" w:eastAsia="Times New Roman" w:hAnsi="Times New Roman"/>
          <w:sz w:val="18"/>
          <w:szCs w:val="18"/>
          <w:color w:val="auto"/>
        </w:rPr>
      </w:pPr>
    </w:p>
    <w:p>
      <w:pPr>
        <w:ind w:left="660" w:right="540" w:hanging="328"/>
        <w:spacing w:after="0" w:line="286" w:lineRule="auto"/>
        <w:tabs>
          <w:tab w:leader="none" w:pos="656"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timing of the manufacture and supply of non-clinical, clinical and commercial quantities of RLYB116 and our other product candidates;</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identification, assessment, acquisition and/or development of additional research programs and additional product candidates;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filing, prosecuting, and enforcing our patent claims and other intellectual property rights;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defending potential intellectual property disputes, including patent infringement actions brought by third parties against us;</w:t>
      </w:r>
    </w:p>
    <w:p>
      <w:pPr>
        <w:spacing w:after="0" w:line="262" w:lineRule="exact"/>
        <w:rPr>
          <w:rFonts w:ascii="Times New Roman" w:cs="Times New Roman" w:eastAsia="Times New Roman" w:hAnsi="Times New Roman"/>
          <w:sz w:val="17"/>
          <w:szCs w:val="17"/>
          <w:color w:val="auto"/>
        </w:rPr>
      </w:pPr>
    </w:p>
    <w:p>
      <w:pPr>
        <w:ind w:left="660" w:right="660" w:hanging="328"/>
        <w:spacing w:after="0" w:line="286" w:lineRule="auto"/>
        <w:tabs>
          <w:tab w:leader="none" w:pos="656"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potential clinical trial liability or product liability claims, including the costs associated with obtaining insurance against such claims and with defending against such claims;</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making royalty, milestone or other payments under our current or any future in-license agreements;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new collaborations;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in-license or acquire additional product candidates or technologies; and</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23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If we continue to progress the development of our product candidates, we will require significant additional capital, which we may raise through equity offerings, debt financings, marketing and distribution arrangements, strategic alliances and licensing arrangements or other sources. Depending on our business performance, the economic climate and market conditions, we may be unable to raise additional funds when needed on favorable terms, or at all. Furthermore, pursuant to Instruction I.B.6, a company with a public float of less than $75 million</w:t>
      </w:r>
    </w:p>
    <w:p>
      <w:pPr>
        <w:spacing w:after="0"/>
        <w:rPr>
          <w:sz w:val="20"/>
          <w:szCs w:val="20"/>
          <w:color w:val="auto"/>
        </w:rPr>
      </w:pPr>
      <w:r>
        <w:rPr>
          <w:rFonts w:ascii="Arial" w:cs="Arial" w:eastAsia="Arial" w:hAnsi="Arial"/>
          <w:sz w:val="17"/>
          <w:szCs w:val="17"/>
          <w:color w:val="auto"/>
        </w:rPr>
        <w:t>measured at certain time periods may not issue securities under Registration Statements on Form S-3 in excess of one-third of its public float in a 12-month period. For purposes of the prior sentence, “public float” means the aggregate market value of a company’s shares held by</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non-affiliates. We are subject to the limitations of Instruction I.B.6 which may limit the amount of funds we can raise using Registration Statements on Form S-3. Moreover, uncertain geopolitical events, such as the war in Ukraine and conflict in Israel, and uncertain global economic conditions, including as a result of changes in tariffs and other trade restrictions, have impacted the global economy, and a severe or prolonged economic downturn could result in a variety of challenges for our business, including disruptions in the financial markets, which could adversely impact our ability to raise additional capital when needed or on favorable terms, if at all. If we do not succeed in raising additional funds on acceptable terms, we may need to significantly delay, scale back or discontinue the development of one or more of our product candidates or the commercialization of any product that may be approved for marketing, or we could be forced to discontinue operations. In addition, attempting to secure additional financing may divert the time and attention of our management from day-to-day activities and harm our product candidate development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Because we have limited financial resources, we have focused and may continue to focus on a limited set of research programs and product candidates and for a limited set of indications. We may forego or delay pursuit of opportunities with certain other product candidates or for other indications that could have greater commercial potential or a greater likelihood of success. Our capital allocation decisions may cause us to fail to realize value from, or advance, viable commercial products or profitable market opportunities.</w:t>
      </w:r>
    </w:p>
    <w:p>
      <w:pPr>
        <w:spacing w:after="0" w:line="205"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intellectual property or product candidates.</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If we continue to progress the development of our product candidates, until such time, if ever, as we generate significant revenue from product sales, we expect to finance our operations through the sale of equity, debt financings, collaborations, strategic alliances and licensing arrangements or other sources. We do not currently have any committed external source of funds. In addition, we may seek additional capital due to favorable market conditions or strategic considerations, even if we believe that we have sufficient funds for our current or future operating plans.</w:t>
      </w:r>
    </w:p>
    <w:p>
      <w:pPr>
        <w:spacing w:after="0" w:line="22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To the extent that we raise additional capital through the future sale of equity or convertible debt securities, including sales of our common stock pursuant to the Sales Agreement with TD Cowen, each shareholder's ownership interest will be diluted, and the terms of these securities may include liquidation or other preferences that adversely affect their rights as a common stockholder. In addition,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debt financing, we may be subject to covenants limiting or restricting our ability to take specific actions, such as incurring additional debt, making capital expenditures or declaring dividends, and we may need to dedicate a substantial additional portion of any operating cash flows to the payment of principal and interest on such indebtedness. Any future indebtedness, combined with our other financial obligations, could increase our vulnerability to adverse changes in general economic, industry and market conditions, limit our flexibility in planning for, or reacting to, changes in our business and the industry and impose a competitive disadvantage compared to our competitors that have less debt or better debt servicing options. If we raise additional funds through collaborations, strategic alliances or licensing arrangements with third parties, we may be required to relinquish valuable rights to our intellectual property, future revenue streams or product candidates or grant licenses on terms that may not be favorable to us. If we are unable to raise additional funds when needed, we may be required to delay, limit, reduce or terminate development or future commercialization efforts for one or more of our product candidates.</w:t>
      </w:r>
    </w:p>
    <w:p>
      <w:pPr>
        <w:spacing w:after="0" w:line="21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pharmaceutical products, which may make it difficult to evaluate the prospects for our future viability.</w:t>
      </w:r>
    </w:p>
    <w:p>
      <w:pPr>
        <w:spacing w:after="0" w:line="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Rallybio was founded in January 2018 and our operations to date have been limited primarily to research and development activities, and raising capital. We have not yet demonstrated the ability to successfully complete a large-scale, pivotal clinical trial, obtain marketing approval, manufacture a commercial-scale product, or arrange for a third-party to do so on our behalf, or conduct sales and marketing activities necessary for successful commercialization. Consequently, predictions about our future success or viability may not be as accurate as they could be if we had a longer operating history or a history of successfully developing and commercializing pharmaceutical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a business with a limited operating history, we may encounter unforeseen expenses, difficulties, complications, delays and other known</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and unknown challenges. If we continue to progress the development of our product candidates, we will eventually need to transition from a company with a research and development focus to a company capable of supporting commercial activities. We may not be successful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such a transition and, as a result, our business may be adversely affected.</w:t>
      </w:r>
    </w:p>
    <w:p>
      <w:pPr>
        <w:spacing w:after="0" w:line="23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Our quarterly and annual financial results may fluctuate, which makes our results difficult to predict and may cause our results to fall short of expectations.</w:t>
      </w:r>
    </w:p>
    <w:p>
      <w:pPr>
        <w:spacing w:after="0" w:line="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Our financial condition and operating results have varied in the past and will continue to fluctuate from quarter-to-quarter and year-to-year in the future due to a variety of factors, many of which are beyond our control. Factors relating to our business that may contribute to these fluctuations include the following, as well as other factors described elsewhere in this Quarterly Report on Form 10-Q:</w:t>
      </w:r>
    </w:p>
    <w:p>
      <w:pPr>
        <w:spacing w:after="0" w:line="20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the level of expense related to any ongoing development of our product candidates or research pipeline;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failures in advancement of any existing or future product candidates into the clinic or in clinical trials;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feasibility of developing, manufacturing and commercializing our product candidates;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relationships, and any associated exclusivity terms, with strategic collaborators;</w:t>
      </w:r>
    </w:p>
    <w:p>
      <w:pPr>
        <w:spacing w:after="0" w:line="251" w:lineRule="exact"/>
        <w:rPr>
          <w:rFonts w:ascii="Times New Roman" w:cs="Times New Roman" w:eastAsia="Times New Roman" w:hAnsi="Times New Roman"/>
          <w:sz w:val="18"/>
          <w:szCs w:val="18"/>
          <w:color w:val="auto"/>
        </w:rPr>
      </w:pPr>
    </w:p>
    <w:p>
      <w:pPr>
        <w:ind w:left="660" w:right="80" w:hanging="328"/>
        <w:spacing w:after="0" w:line="286" w:lineRule="auto"/>
        <w:tabs>
          <w:tab w:leader="none" w:pos="656"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operation in a net loss position in the foreseeable future;</w:t>
      </w:r>
    </w:p>
    <w:p>
      <w:pPr>
        <w:spacing w:after="0" w:line="237" w:lineRule="exact"/>
        <w:rPr>
          <w:rFonts w:ascii="Times New Roman" w:cs="Times New Roman" w:eastAsia="Times New Roman" w:hAnsi="Times New Roman"/>
          <w:sz w:val="18"/>
          <w:szCs w:val="18"/>
          <w:color w:val="auto"/>
        </w:rPr>
      </w:pPr>
    </w:p>
    <w:p>
      <w:pPr>
        <w:ind w:left="660" w:right="40" w:hanging="328"/>
        <w:spacing w:after="0" w:line="271" w:lineRule="auto"/>
        <w:tabs>
          <w:tab w:leader="none" w:pos="656"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we continue to progress the development of our product candidates, our ability to consistently manufacture our product candidates, including in sufficient quantities for clinical or commercial purposes;</w:t>
      </w:r>
    </w:p>
    <w:p>
      <w:pPr>
        <w:spacing w:after="0" w:line="19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dependence on, and the need to attract and retain, key management and other personnel;</w:t>
      </w:r>
    </w:p>
    <w:p>
      <w:pPr>
        <w:spacing w:after="0" w:line="251" w:lineRule="exact"/>
        <w:rPr>
          <w:rFonts w:ascii="Times New Roman" w:cs="Times New Roman" w:eastAsia="Times New Roman" w:hAnsi="Times New Roman"/>
          <w:sz w:val="18"/>
          <w:szCs w:val="18"/>
          <w:color w:val="auto"/>
        </w:rPr>
      </w:pPr>
    </w:p>
    <w:p>
      <w:pPr>
        <w:ind w:left="660" w:right="460" w:hanging="328"/>
        <w:spacing w:after="0" w:line="286" w:lineRule="auto"/>
        <w:tabs>
          <w:tab w:leader="none" w:pos="656"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180" w:lineRule="exact"/>
        <w:rPr>
          <w:rFonts w:ascii="Times New Roman" w:cs="Times New Roman" w:eastAsia="Times New Roman" w:hAnsi="Times New Roman"/>
          <w:sz w:val="18"/>
          <w:szCs w:val="18"/>
          <w:color w:val="auto"/>
        </w:rPr>
      </w:pPr>
    </w:p>
    <w:p>
      <w:pPr>
        <w:ind w:left="660" w:right="720" w:hanging="328"/>
        <w:spacing w:after="0" w:line="286" w:lineRule="auto"/>
        <w:tabs>
          <w:tab w:leader="none" w:pos="656"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advantages that our competitors and potential competitors may have in developing and commercializing competing products, securing funding for or obtaining the rights to critical intellectual property;</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affecting our product candidates or those of our competitors;</w:t>
      </w:r>
    </w:p>
    <w:p>
      <w:pPr>
        <w:spacing w:after="0" w:line="251" w:lineRule="exact"/>
        <w:rPr>
          <w:rFonts w:ascii="Times New Roman" w:cs="Times New Roman" w:eastAsia="Times New Roman" w:hAnsi="Times New Roman"/>
          <w:sz w:val="18"/>
          <w:szCs w:val="18"/>
          <w:color w:val="auto"/>
        </w:rPr>
      </w:pPr>
    </w:p>
    <w:p>
      <w:pPr>
        <w:ind w:left="660" w:right="320" w:hanging="328"/>
        <w:spacing w:after="0" w:line="286" w:lineRule="auto"/>
        <w:tabs>
          <w:tab w:leader="none" w:pos="656"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180" w:lineRule="exact"/>
        <w:rPr>
          <w:rFonts w:ascii="Times New Roman" w:cs="Times New Roman" w:eastAsia="Times New Roman" w:hAnsi="Times New Roman"/>
          <w:sz w:val="18"/>
          <w:szCs w:val="18"/>
          <w:color w:val="auto"/>
        </w:rPr>
      </w:pPr>
    </w:p>
    <w:p>
      <w:pPr>
        <w:ind w:left="660" w:right="500" w:hanging="328"/>
        <w:spacing w:after="0" w:line="286" w:lineRule="auto"/>
        <w:tabs>
          <w:tab w:leader="none" w:pos="656"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patents or other proprietary rights, litigation matters and our ability to obtain and maintain patent protection for our product candidates;</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business interruptions such as power outages, strikes, civil unrest, wars, acts of terrorism or natural disasters; and</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use our net operating loss ("NOL") and income tax credit carryforwards to offset income tax.</w:t>
      </w:r>
    </w:p>
    <w:p>
      <w:pPr>
        <w:spacing w:after="0" w:line="2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Due to these and other factors, the results of any of our prior quarterly or annual periods should not be relied upon as indications of our future operating performance, and a period-to-period comparison of our results of operations may not be a meaningful indication of our future performance. In any particular quarter or quarters, our operating results could be below the expectations of securities analysts or investors, which could cause our stock price to decline.</w:t>
      </w:r>
    </w:p>
    <w:p>
      <w:pPr>
        <w:spacing w:after="0" w:line="205"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b w:val="1"/>
          <w:bCs w:val="1"/>
          <w:i w:val="1"/>
          <w:iCs w:val="1"/>
          <w:color w:val="auto"/>
        </w:rPr>
        <w:t>Our ability to use our NOL and income tax credit carryforwards to offset future income tax liabilities may be subject to certain limitations.</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incurred substantial NOLs during our history. To the extent that we continue to generate taxable losses, unused losses will carry forward and can be used to offset future taxable income, if any, until such unused losses expire. NOLs generated in taxable years beginning after December 31, 2017 are not subject to expiration. Federal NOLs generated in taxable years beginning after December 31, 2017 generally may not be carried back to prior taxable years. The deduction for NOLs arising in taxable years beginning after December 31, 2017 is generally limited to 80% of current year taxable income. We also have substantial federal and state research and development and other tax credit carryforwards. These tax credit carryforwards could expire unused and be unavailable to offset future income tax liabilities. In addition, in general, under Sections 382 and 383 of the U.S. Internal Revenue Code of 1986, as amended (the “Code”), a corporation that undergoes an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“ownership change” is subject to limitations on its ability to use its pre-change NOLs and tax credit carryforwards to offset future taxable income. Some of our historical NOLs may be subject to annual limitations on our ability to use them due to prior ownership changes. Additionally, we may experience such ownership changes in the future as a result of future transactions in our stock, some of which may be outside our control. If we undergo an ownership change, our ability to use our NOLs and income tax credit carryforwards could be further limited. For these reasons, we may not be able to use a material portion of our NOLs or tax credit carryforwards, even if we attain profitability.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Development, Clinical Testing, Manufacturing, Marketing Approval and Commercialization</w:t>
      </w:r>
    </w:p>
    <w:p>
      <w:pPr>
        <w:spacing w:after="0" w:line="254" w:lineRule="exact"/>
        <w:rPr>
          <w:sz w:val="20"/>
          <w:szCs w:val="20"/>
          <w:color w:val="auto"/>
        </w:rPr>
      </w:pPr>
    </w:p>
    <w:p>
      <w:pPr>
        <w:spacing w:after="0" w:line="243" w:lineRule="auto"/>
        <w:rPr>
          <w:sz w:val="20"/>
          <w:szCs w:val="20"/>
          <w:color w:val="auto"/>
        </w:rPr>
      </w:pPr>
      <w:r>
        <w:rPr>
          <w:rFonts w:ascii="Arial" w:cs="Arial" w:eastAsia="Arial" w:hAnsi="Arial"/>
          <w:sz w:val="18"/>
          <w:szCs w:val="18"/>
          <w:b w:val="1"/>
          <w:bCs w:val="1"/>
          <w:i w:val="1"/>
          <w:iCs w:val="1"/>
          <w:color w:val="auto"/>
        </w:rPr>
        <w:t xml:space="preserve">We are heavily dependent on the success of RLYB116, which is in early-stage clinical development. If we continue to progress the development of our product candidates, and we are not able to develop, obtain marketing approval for, or successfully commercialize our product candidates, or if we experience significant delays in doing so, our business will be materially harmed. </w:t>
      </w:r>
      <w:r>
        <w:rPr>
          <w:rFonts w:ascii="Arial" w:cs="Arial" w:eastAsia="Arial" w:hAnsi="Arial"/>
          <w:sz w:val="18"/>
          <w:szCs w:val="18"/>
          <w:color w:val="auto"/>
        </w:rPr>
        <w:t>Our lead program, RLYB116, is in early-stage clinical development and we do not currently have any products that generate revenues or any other sources of revenue. To date, we have invested a significant portion of our efforts and financial resources in the development of RLYB212 and RLYB116. If we continue to progress the development of our product candidates, our future success is substantially dependent on our ability to successfully complete preclinical and clinical development for, obtain marketing approval for, and successfully commercialize, RLYB116 and our other product candidates, which may never occur. None of our product candidates are approved for commercial sale and we may never be able to develop a marketable product.</w:t>
      </w:r>
    </w:p>
    <w:p>
      <w:pPr>
        <w:spacing w:after="0" w:line="204"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Before obtaining marketing approvals for the commercial sale of our product candidates, we must demonstrate the safety and efficacy of our product candidates for use in each target indication through lengthy, complex and expensive preclinical studies and clinical trials. Failure can</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occur at any time during the preclinical study and clinical trial processes. Because our product candidates are in an early stage of development, there is a high risk of failure, and we may never succeed in developing marketable products. If we continue to progress the development of our product candidates, our ability to generate product revenue will depend heavily on the successful development and eventual commercialization of our product candidates, which may never occur. Ongoing and future preclinical studies and clinical trials of our product candidates may not show sufficient safety or efficacy or be of sufficient quality to obtain or maintain marketing approvals. For example, PK data from the Phase 2 clinical trial for RLYB212 demonstrated an inability of the RLYB212 dose regimen to achieve predicted target concentrations, as well as the minimum target concentration required for efficacy. There can be no assurance that any of our product candidates, even if approved, will prove to be commercially viable therapeutics.</w:t>
      </w:r>
    </w:p>
    <w:p>
      <w:pPr>
        <w:spacing w:after="0" w:line="22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RLYB116 is designed for subcutaneous ("SC") self-administration. The formulation or physical properties of RLYB116 may ultimately be determined to be inadequate to support this route of administration. If SC administration is not feasible, then we may need to identify additional formulations or routes of administration, which could delay initiation of our future clinical trials or commercialization and result in significant additional costs. Further, alternative formulations and routes of administration may be required to differentiate our product candidates from competitors and/or secure access to support successful commercialization.</w:t>
      </w:r>
    </w:p>
    <w:p>
      <w:pPr>
        <w:spacing w:after="0" w:line="19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If we continue to progress the development of our product candidates, the success of our product candidates will depend on several factors, including the following:</w:t>
      </w:r>
    </w:p>
    <w:p>
      <w:pPr>
        <w:spacing w:after="0" w:line="194" w:lineRule="exact"/>
        <w:rPr>
          <w:sz w:val="20"/>
          <w:szCs w:val="20"/>
          <w:color w:val="auto"/>
        </w:rPr>
      </w:pPr>
    </w:p>
    <w:p>
      <w:pPr>
        <w:ind w:left="660" w:right="460" w:hanging="328"/>
        <w:spacing w:after="0" w:line="268" w:lineRule="auto"/>
        <w:tabs>
          <w:tab w:leader="none" w:pos="656"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and timely initiation of preclinical studies, and successful and timely initiation of, enrollment in, and completion of our clinical trials with results that support a finding of safety and effectiveness and an acceptable risk-benefit profile of our product candidates in the intended populations within the timeframes we have projected;</w:t>
      </w:r>
    </w:p>
    <w:p>
      <w:pPr>
        <w:spacing w:after="0" w:line="196" w:lineRule="exact"/>
        <w:rPr>
          <w:rFonts w:ascii="Times New Roman" w:cs="Times New Roman" w:eastAsia="Times New Roman" w:hAnsi="Times New Roman"/>
          <w:sz w:val="18"/>
          <w:szCs w:val="18"/>
          <w:color w:val="auto"/>
        </w:rPr>
      </w:pPr>
    </w:p>
    <w:p>
      <w:pPr>
        <w:ind w:left="660" w:right="180" w:hanging="328"/>
        <w:spacing w:after="0" w:line="286" w:lineRule="auto"/>
        <w:tabs>
          <w:tab w:leader="none" w:pos="656"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grants of authorization to proceed under investigational new drug applications or clinical trial authorization (“CTAs”) such that we can commence planned or future clinical trials of our product candidates;</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120" w:hanging="328"/>
        <w:spacing w:after="0" w:line="286" w:lineRule="auto"/>
        <w:tabs>
          <w:tab w:leader="none" w:pos="656"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utilize certain delivery systems, such as pre-filled syringes ("PFSs"), pen-injectors and/or autoinjectors, for certain of our product candidates and to obtain marketing approval of any such drug/device combination product;</w:t>
      </w:r>
    </w:p>
    <w:p>
      <w:pPr>
        <w:spacing w:after="0" w:line="180" w:lineRule="exact"/>
        <w:rPr>
          <w:rFonts w:ascii="Times New Roman" w:cs="Times New Roman" w:eastAsia="Times New Roman" w:hAnsi="Times New Roman"/>
          <w:sz w:val="18"/>
          <w:szCs w:val="18"/>
          <w:color w:val="auto"/>
        </w:rPr>
      </w:pPr>
    </w:p>
    <w:p>
      <w:pPr>
        <w:ind w:left="660" w:right="340" w:hanging="328"/>
        <w:spacing w:after="0" w:line="286" w:lineRule="auto"/>
        <w:tabs>
          <w:tab w:leader="none" w:pos="656"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timing, and cost of meeting regulatory requirements, including any post-marketing commitments, established by the FDA, EMA and other comparable foreign regulatory authorities;</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commercially viable arrangements with third-party manufacturers for clinical and commercial supply;</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251" w:lineRule="exact"/>
        <w:rPr>
          <w:rFonts w:ascii="Times New Roman" w:cs="Times New Roman" w:eastAsia="Times New Roman" w:hAnsi="Times New Roman"/>
          <w:sz w:val="18"/>
          <w:szCs w:val="18"/>
          <w:color w:val="auto"/>
        </w:rPr>
      </w:pPr>
    </w:p>
    <w:p>
      <w:pPr>
        <w:ind w:left="660" w:right="160" w:hanging="328"/>
        <w:spacing w:after="0" w:line="286" w:lineRule="auto"/>
        <w:tabs>
          <w:tab w:leader="none" w:pos="656"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sales, marketing and distribution capabilities, whether alone or through a collaboration, to support commercialization of our product candidates, if and when approved;</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acceptance of the product candidates, if and when approved, by patients, the medical community and third-party payors;</w:t>
      </w:r>
    </w:p>
    <w:p>
      <w:pPr>
        <w:spacing w:after="0" w:line="251" w:lineRule="exact"/>
        <w:rPr>
          <w:rFonts w:ascii="Times New Roman" w:cs="Times New Roman" w:eastAsia="Times New Roman" w:hAnsi="Times New Roman"/>
          <w:sz w:val="18"/>
          <w:szCs w:val="18"/>
          <w:color w:val="auto"/>
        </w:rPr>
      </w:pPr>
    </w:p>
    <w:p>
      <w:pPr>
        <w:ind w:left="660" w:right="860" w:hanging="328"/>
        <w:spacing w:after="0" w:line="286" w:lineRule="auto"/>
        <w:tabs>
          <w:tab w:leader="none" w:pos="656"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differentiating and competing with other therapies approved and/or used for the same indications as our product candidates, particularly RLYB116;</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third-party coverage and reimbursement;</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enforcing and defending intellectual property rights and claims; and</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an acceptable safety profile of the product candidates following approval.</w:t>
      </w:r>
    </w:p>
    <w:p>
      <w:pPr>
        <w:spacing w:after="0" w:line="2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we do not successfully address one or more of these factors in a timely manner or at all, we could experience significant delays or an inability to commercialize our product candidates, which would materially harm our business. Due to the uncertain and time-consuming clinical development and marketing approval process, we may not successfully develop any of our product candidates and may choose to discontinue the development of any of our product candidates prior to receiving marketing approval. If we discontinue development of a product candidate, we will not receive anticipated revenues from that product candidate and we may not receive any return on our investment in that product candidate. We may discontinue a product candidate for clinical reasons if it does not prove to be safe and effective for its targeted indications, or if such product candidates do not achieve the necessary efficacy at tolerated doses required for patient benefit. For example, we discontinued RLYB212 development based on PK data from the Phase 2 clinical trial that demonstrated an inability of the RLYB212 dose regimen to achieve predicted target concentrations, as well as the minimum target concentration required for efficacy. In addition, there may be important facts about the safety, efficacy and risk versus benefit of our product candidates that are not known to us at this time. Any unexpected safety events or our failure to generate sufficient data in our clinical trials to demonstrate efficacy may cause a product candidate to fail clinical development. Furthermore, even if that product candidate meets its safety and efficacy endpoints, we may discontinue its development for various reasons, such as changes in the competitive environment or the standard of care and the prioritization of our resources.</w:t>
      </w:r>
    </w:p>
    <w:p>
      <w:pPr>
        <w:spacing w:after="0" w:line="21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U.S. Supreme Court’s June 2024 decision in </w:t>
      </w:r>
      <w:r>
        <w:rPr>
          <w:rFonts w:ascii="Arial" w:cs="Arial" w:eastAsia="Arial" w:hAnsi="Arial"/>
          <w:sz w:val="18"/>
          <w:szCs w:val="18"/>
          <w:i w:val="1"/>
          <w:iCs w:val="1"/>
          <w:color w:val="auto"/>
        </w:rPr>
        <w:t>Loper Bright Enterprises v. Raimondo</w:t>
      </w:r>
      <w:r>
        <w:rPr>
          <w:rFonts w:ascii="Arial" w:cs="Arial" w:eastAsia="Arial" w:hAnsi="Arial"/>
          <w:sz w:val="18"/>
          <w:szCs w:val="18"/>
          <w:color w:val="auto"/>
        </w:rPr>
        <w:t xml:space="preserve"> overturned the longstanding </w:t>
      </w:r>
      <w:r>
        <w:rPr>
          <w:rFonts w:ascii="Arial" w:cs="Arial" w:eastAsia="Arial" w:hAnsi="Arial"/>
          <w:sz w:val="18"/>
          <w:szCs w:val="18"/>
          <w:i w:val="1"/>
          <w:iCs w:val="1"/>
          <w:color w:val="auto"/>
        </w:rPr>
        <w:t>Chevron</w:t>
      </w:r>
      <w:r>
        <w:rPr>
          <w:rFonts w:ascii="Arial" w:cs="Arial" w:eastAsia="Arial" w:hAnsi="Arial"/>
          <w:sz w:val="18"/>
          <w:szCs w:val="18"/>
          <w:color w:val="auto"/>
        </w:rPr>
        <w:t xml:space="preserve"> doctrine, under which courts were required to give deference to regulatory agencies’ reasonable interpretations of ambiguous federal statutes. The </w:t>
      </w:r>
      <w:r>
        <w:rPr>
          <w:rFonts w:ascii="Arial" w:cs="Arial" w:eastAsia="Arial" w:hAnsi="Arial"/>
          <w:sz w:val="18"/>
          <w:szCs w:val="18"/>
          <w:i w:val="1"/>
          <w:iCs w:val="1"/>
          <w:color w:val="auto"/>
        </w:rPr>
        <w:t>Loper</w:t>
      </w:r>
      <w:r>
        <w:rPr>
          <w:rFonts w:ascii="Arial" w:cs="Arial" w:eastAsia="Arial" w:hAnsi="Arial"/>
          <w:sz w:val="18"/>
          <w:szCs w:val="18"/>
          <w:color w:val="auto"/>
        </w:rPr>
        <w:t xml:space="preserve"> decision could result in additional legal challenges to regulations and guidance issued by federal agencies, including the FDA, on which we rely. Any such legal challenges, if successful, could have a material impact on our business. Additionally, the </w:t>
      </w:r>
      <w:r>
        <w:rPr>
          <w:rFonts w:ascii="Arial" w:cs="Arial" w:eastAsia="Arial" w:hAnsi="Arial"/>
          <w:sz w:val="18"/>
          <w:szCs w:val="18"/>
          <w:i w:val="1"/>
          <w:iCs w:val="1"/>
          <w:color w:val="auto"/>
        </w:rPr>
        <w:t>Loper</w:t>
      </w:r>
      <w:r>
        <w:rPr>
          <w:rFonts w:ascii="Arial" w:cs="Arial" w:eastAsia="Arial" w:hAnsi="Arial"/>
          <w:sz w:val="18"/>
          <w:szCs w:val="18"/>
          <w:color w:val="auto"/>
        </w:rPr>
        <w:t xml:space="preserve">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i w:val="1"/>
          <w:iCs w:val="1"/>
          <w:color w:val="auto"/>
        </w:rPr>
        <w:t>Preclinical studies and clinical trials are expensive, time consuming and difficult to design and implement, and involve uncertain outcomes. If we continue to progress the development of our product candidates, we may incur additional costs or experience delays in completing, or ultimately be unable to complete, the development of our product candidates.</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Before obtaining marketing approval from the FDA, EMA or other comparable regulatory authorities for the sale of our product candidates, we must complete preclinical studies and extensive clinical trials to demonstrate the safety and efficacy of our product candidates. To initiate clinical trials for any future product candidates, we must submit the results of preclinical studies to the FDA, EMA or other comparable foreign regulatory authorities, along with other information, including information about chemistry, manufacturing, controls ("CMC") and our proposed clinical trial protocol, as part of an investigational new drug application or similar regulatory filing that must be accepted by the FDA, EMA or other applicable regulatory authorities before we may proceed with clinical development. In the event that regulators require us to complete additional preclinical studies or we are required to satisfy other regulator requests, such as obtaining alignment on the device regulatory pathway for our FNAIT prevention program, the start of our clinical trials may be delayed or prevented. Even after we receive and incorporate guidance from these regulatory authorities, the FDA, EMA or other regulatory authorities could (i) disagree that we have satisfied their requirements to commence our clinical trial, (ii) change their position on the acceptability of our data, trial design or the clinical endpoints selected, which may require us to complete additional preclinical studies or clinical trials or (iii) impose stricter requirements for approval than we currently expect.</w:t>
      </w:r>
    </w:p>
    <w:p>
      <w:pPr>
        <w:spacing w:after="0" w:line="206"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If we continue to progress the development of our product candidates, we may experience events that could delay or prevent our ability to complete current clinical trials or initiate and complete new trials, any of which may impact our product development timelines, result in increased costs, affect our ability to obtain marketing approval according to our plans, and delay commercialization of our product candidates. These events include, but are not limited to:</w:t>
      </w:r>
    </w:p>
    <w:p>
      <w:pPr>
        <w:spacing w:after="0" w:line="214" w:lineRule="exact"/>
        <w:rPr>
          <w:sz w:val="20"/>
          <w:szCs w:val="20"/>
          <w:color w:val="auto"/>
        </w:rPr>
      </w:pPr>
    </w:p>
    <w:p>
      <w:pPr>
        <w:ind w:left="660" w:right="1000" w:hanging="328"/>
        <w:spacing w:after="0" w:line="286" w:lineRule="auto"/>
        <w:tabs>
          <w:tab w:leader="none" w:pos="656"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FDA, EMA or other comparable foreign regulatory authorities requiring us to submit additional data or imposing other requirements before permitting us to commence a trial;</w:t>
      </w:r>
    </w:p>
    <w:p>
      <w:pPr>
        <w:spacing w:after="0" w:line="180" w:lineRule="exact"/>
        <w:rPr>
          <w:rFonts w:ascii="Times New Roman" w:cs="Times New Roman" w:eastAsia="Times New Roman" w:hAnsi="Times New Roman"/>
          <w:sz w:val="18"/>
          <w:szCs w:val="18"/>
          <w:color w:val="auto"/>
        </w:rPr>
      </w:pPr>
    </w:p>
    <w:p>
      <w:pPr>
        <w:ind w:left="660" w:right="40" w:hanging="328"/>
        <w:spacing w:after="0" w:line="286" w:lineRule="auto"/>
        <w:tabs>
          <w:tab w:leader="none" w:pos="656"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receiving or denial by regulatory agencies of permission to proceed with our planned clinical trials or any other clinical trials we may initiate, or placement of a clinical trial on hold;</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negative results from our non-clinical trials or clinical trials;</w:t>
      </w:r>
    </w:p>
    <w:p>
      <w:pPr>
        <w:spacing w:after="0" w:line="251" w:lineRule="exact"/>
        <w:rPr>
          <w:rFonts w:ascii="Times New Roman" w:cs="Times New Roman" w:eastAsia="Times New Roman" w:hAnsi="Times New Roman"/>
          <w:sz w:val="18"/>
          <w:szCs w:val="18"/>
          <w:color w:val="auto"/>
        </w:rPr>
      </w:pPr>
    </w:p>
    <w:p>
      <w:pPr>
        <w:ind w:left="660" w:right="380" w:hanging="328"/>
        <w:spacing w:after="0" w:line="286" w:lineRule="auto"/>
        <w:tabs>
          <w:tab w:leader="none" w:pos="656"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delays and cost involved in identifying, recruiting and retaining suitable participants and clinical trial sites in sufficient numbers to participate in clinical trials;</w:t>
      </w:r>
    </w:p>
    <w:p>
      <w:pPr>
        <w:spacing w:after="0" w:line="180" w:lineRule="exact"/>
        <w:rPr>
          <w:rFonts w:ascii="Times New Roman" w:cs="Times New Roman" w:eastAsia="Times New Roman" w:hAnsi="Times New Roman"/>
          <w:sz w:val="18"/>
          <w:szCs w:val="18"/>
          <w:color w:val="auto"/>
        </w:rPr>
      </w:pPr>
    </w:p>
    <w:p>
      <w:pPr>
        <w:ind w:left="660" w:right="560" w:hanging="328"/>
        <w:spacing w:after="0" w:line="286" w:lineRule="auto"/>
        <w:tabs>
          <w:tab w:leader="none" w:pos="656"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reaching an agreement on acceptable terms with prospective CROs and clinical trial sites, the terms of which can be subject to extensive negotiation and may vary significantly among different CROs and trial sites;</w:t>
      </w:r>
    </w:p>
    <w:p>
      <w:pPr>
        <w:spacing w:after="0" w:line="180" w:lineRule="exact"/>
        <w:rPr>
          <w:rFonts w:ascii="Times New Roman" w:cs="Times New Roman" w:eastAsia="Times New Roman" w:hAnsi="Times New Roman"/>
          <w:sz w:val="18"/>
          <w:szCs w:val="18"/>
          <w:color w:val="auto"/>
        </w:rPr>
      </w:pPr>
    </w:p>
    <w:p>
      <w:pPr>
        <w:ind w:left="660" w:right="200" w:hanging="328"/>
        <w:spacing w:after="0" w:line="286" w:lineRule="auto"/>
        <w:tabs>
          <w:tab w:leader="none" w:pos="656"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obtaining an independent institutional review board ("IRB") approval at each site within the United States, or Independent Ethics Committee ("IEC") approval at sites outside the United States;</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problems in analyzing data, or the need for additional analysis or data or the need to enroll additional patients;</w:t>
      </w:r>
    </w:p>
    <w:p>
      <w:pPr>
        <w:spacing w:after="0" w:line="251" w:lineRule="exact"/>
        <w:rPr>
          <w:rFonts w:ascii="Times New Roman" w:cs="Times New Roman" w:eastAsia="Times New Roman" w:hAnsi="Times New Roman"/>
          <w:sz w:val="18"/>
          <w:szCs w:val="18"/>
          <w:color w:val="auto"/>
        </w:rPr>
      </w:pPr>
    </w:p>
    <w:p>
      <w:pPr>
        <w:ind w:left="660" w:right="60" w:hanging="328"/>
        <w:spacing w:after="0" w:line="286" w:lineRule="auto"/>
        <w:tabs>
          <w:tab w:leader="none" w:pos="656"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failure by us, our CROs, trial sites or investigators to adhere to clinical trial, regulatory, legal or contractual requirements and perform trials in accordance with the FDA’s good clinical practices ("GCP") requirements and trial protocol;</w:t>
      </w:r>
    </w:p>
    <w:p>
      <w:pPr>
        <w:spacing w:after="0" w:line="180" w:lineRule="exact"/>
        <w:rPr>
          <w:rFonts w:ascii="Times New Roman" w:cs="Times New Roman" w:eastAsia="Times New Roman" w:hAnsi="Times New Roman"/>
          <w:sz w:val="18"/>
          <w:szCs w:val="18"/>
          <w:color w:val="auto"/>
        </w:rPr>
      </w:pPr>
    </w:p>
    <w:p>
      <w:pPr>
        <w:ind w:left="660" w:right="200" w:hanging="328"/>
        <w:spacing w:after="0" w:line="268" w:lineRule="auto"/>
        <w:tabs>
          <w:tab w:leader="none" w:pos="656"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inadequate quantity or quality of product candidate or other materials necessary to conduct clinical trials, for example as a result of delays in defining and implementing the manufacturing process for materials used in clinical trials or for the manufacture of larger quantities or other delays or issues arising in the manufacturing of sufficient supply of finished drug product;</w:t>
      </w:r>
    </w:p>
    <w:p>
      <w:pPr>
        <w:spacing w:after="0" w:line="1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lack of adequate funding to continue a clinical trial, including as a result of unanticipated costs or increases in costs of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line="268" w:lineRule="auto"/>
        <w:tabs>
          <w:tab w:leader="none" w:pos="656"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occurrence of serious adverse events including unexpected serious adverse events, associated with the product candidate or reports from non-clinical or clinical testing of our own or competing therapies that raise safety or efficacy concerns, or delays or failures in addressing patient safety concerns that arise during the course of a trial;</w:t>
      </w:r>
    </w:p>
    <w:p>
      <w:pPr>
        <w:spacing w:after="0" w:line="196" w:lineRule="exact"/>
        <w:rPr>
          <w:rFonts w:ascii="Times New Roman" w:cs="Times New Roman" w:eastAsia="Times New Roman" w:hAnsi="Times New Roman"/>
          <w:sz w:val="18"/>
          <w:szCs w:val="18"/>
          <w:color w:val="auto"/>
        </w:rPr>
      </w:pPr>
    </w:p>
    <w:p>
      <w:pPr>
        <w:ind w:left="660" w:right="160" w:hanging="328"/>
        <w:spacing w:after="0" w:line="286" w:lineRule="auto"/>
        <w:tabs>
          <w:tab w:leader="none" w:pos="656"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regulatory requirements and guidance that require changes to planned or ongoing preclinical and clinical studies, or the conduct of additional studies; and</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recruiting and retaining employees, consultants or contractors with the required level of expertise.</w:t>
      </w:r>
    </w:p>
    <w:p>
      <w:pPr>
        <w:spacing w:after="0" w:line="25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we could encounter delays if a clinical trial is suspended or terminated by us, the IRBs or IECs of the institutions in which such trials are being conducted, the FDA, EMA or other regulatory authorities, or recommended for termination by a Data and Safety Monitoring Board ("DSMB") for such trial. Such authorities may impose a suspension or termination or recommend an alteration to clinical trials due to several factors, including failure to conduct the clinical trial in accordance with regulatory requirements or our clinical protocols, the identification of safety issues or adverse side effects, failure to demonstrate a benefit from using a drug, changes in governmental regulations or administrative actions.</w:t>
      </w:r>
    </w:p>
    <w:p>
      <w:pPr>
        <w:spacing w:after="0" w:line="209"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Furthermore, we rely and will rely on CROs and clinical trial sites to ensure the proper and timely conduct of our clinical trials and, while we have agreements governing their committed activities, we have limited influence over their actual performance, as described in the section titled “— Risks Related to Our Dependence on Third Parties.”</w:t>
      </w:r>
    </w:p>
    <w:p>
      <w:pPr>
        <w:spacing w:after="0" w:line="19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Principal investigators for our clinical trials could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a clinical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product candidates.</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Any delays in completing our clinical trials will increase our costs, slow down our product candidate development and approval process and jeopardize our ability to commence product sales and generate revenues. In addition, many of the factors that cause, or lead to, termination or suspension of, or a delay in the commencement or completion of, clinical trials may also ultimately lead to the denial of regulatory approval of our product candidates. Any delays to our clinical trials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21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b w:val="1"/>
          <w:bCs w:val="1"/>
          <w:i w:val="1"/>
          <w:iCs w:val="1"/>
          <w:color w:val="auto"/>
        </w:rPr>
        <w:t>If we continue to progress the development of our product candidates, results of preclinical studies, clinical trials or analyses that we may announce or publish from time to time, may not be indicative of results obtained in later trials, and any interim results we may publish could be different than final results.</w:t>
      </w:r>
    </w:p>
    <w:p>
      <w:pPr>
        <w:spacing w:after="0" w:line="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results of preclinical studies, clinical trials or analyses of the results from such trials, may not be predictive of the results of later clinical trials. Product candidates in later clinical trials may fail to show the desired safety and efficacy traits despite having progressed through preclinical studies and prior clinical trials or having shown promising results based on analyses of data from earlier trials. Late-stage clinical trials may include a larger number of patients and could differ in other significant ways from early-stage clinical trials, including changes to inclusion and exclusion criteria, patient population, efficacy endpoints, dosing regimen and statistical design. A number of companies in the biopharmaceutical industry have suffered significant setbacks in later-stage clinical trials due to lack of efficacy or adverse safety profiles, notwithstanding earlier promising results. In addition, conclusions based on promising data from analyses of clinical results, such as the prospective and post hoc analysis of results may be shown to be incorrect in subsequent clinical trials that have pre-specified end points or may not be considered adequate by regulatory authorities. We have completed Phase 1 clinical studies for RLYB116, however, even if we complete later clinical trials as planned, we cannot be certain that their results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will support the safety and efficacy requirements sufficient to obtain regulatory approval, and, as a result, our clinical development plans may be materially harmed.</w:t>
      </w:r>
    </w:p>
    <w:p>
      <w:pPr>
        <w:spacing w:after="0" w:line="180" w:lineRule="exact"/>
        <w:rPr>
          <w:sz w:val="20"/>
          <w:szCs w:val="20"/>
          <w:color w:val="auto"/>
        </w:rPr>
      </w:pPr>
    </w:p>
    <w:p>
      <w:pPr>
        <w:jc w:val="both"/>
        <w:ind w:right="680"/>
        <w:spacing w:after="0" w:line="268" w:lineRule="auto"/>
        <w:rPr>
          <w:sz w:val="20"/>
          <w:szCs w:val="20"/>
          <w:color w:val="auto"/>
        </w:rPr>
      </w:pPr>
      <w:r>
        <w:rPr>
          <w:rFonts w:ascii="Arial" w:cs="Arial" w:eastAsia="Arial" w:hAnsi="Arial"/>
          <w:sz w:val="18"/>
          <w:szCs w:val="18"/>
          <w:color w:val="auto"/>
        </w:rPr>
        <w:t>Similarly, interim, “top-line” and preliminary data from our clinical trials that we announce or publish may change as more patient data become available or as additional analyses are conducted. The data obtained in such clinical trials are subject to additional audit and verification procedures and following such procedures, such interim data could be materially different from the final data.</w:t>
      </w:r>
    </w:p>
    <w:p>
      <w:pPr>
        <w:spacing w:after="0" w:line="20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b w:val="1"/>
          <w:bCs w:val="1"/>
          <w:i w:val="1"/>
          <w:iCs w:val="1"/>
          <w:color w:val="auto"/>
        </w:rPr>
        <w:t>Enrollment and retention of patients in rare disease clinical trials is an expensive and time-consuming process and could be made more difficult or rendered impossible by multiple factors outside our control.</w:t>
      </w:r>
    </w:p>
    <w:p>
      <w:pPr>
        <w:spacing w:after="0" w:line="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If we continue to progress the development of our product candidates, identifying and qualifying patients to participate in clinical trials of our product candidates is critical to our success. We currently are conducting clinical trials with our product candidates in rare disease indications, which can make completion of such trial more difficult. The timely completion of clinical trials in accordance with their protocols depends, among other things, on the speed at which we can recruit eligible patients to participate in testing our product candidates and our ability to enroll a sufficient number of patients who remain in the study until its conclusion. Clinical trial recruitment delays often result in increased costs, delays in advancing product development, delays in testing the effectiveness of technologies, delays in obtaining marketing approval or termination of clinical trials.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Patient enrollment and retention in clinical trials depends on many factors, including:</w:t>
      </w:r>
    </w:p>
    <w:p>
      <w:pPr>
        <w:spacing w:after="0" w:line="25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design of the clinical trial, including the patient eligibility criteria defined in the protocol;</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nature of the patient population required for analysis of the trial’s primary endpoints;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existing body of safety and efficacy data with respect to the product candidate;</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proximity of patients to clinical sites;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51" w:lineRule="exact"/>
        <w:rPr>
          <w:rFonts w:ascii="Times New Roman" w:cs="Times New Roman" w:eastAsia="Times New Roman" w:hAnsi="Times New Roman"/>
          <w:sz w:val="18"/>
          <w:szCs w:val="18"/>
          <w:color w:val="auto"/>
        </w:rPr>
      </w:pPr>
    </w:p>
    <w:p>
      <w:pPr>
        <w:ind w:left="660" w:right="580" w:hanging="328"/>
        <w:spacing w:after="0" w:line="317" w:lineRule="auto"/>
        <w:tabs>
          <w:tab w:leader="none" w:pos="656"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clinicians’ and patients’ perceptions as to the potential advantages of the product candidate being studied in relation to other available therapies, including any new drugs or medical devices that may be approved for the indications we are investigating;</w:t>
      </w:r>
    </w:p>
    <w:p>
      <w:pPr>
        <w:spacing w:after="0" w:line="157"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competing clinical trials being conducted by other companies or institutions, particularly for RLYB116;</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patient consents;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risk that patients enrolled in clinical trials will drop out of the trials before completion; and</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other factors we may not be able to control that may limit patients, principal investigators or staff, or clinical site availability.</w:t>
      </w:r>
    </w:p>
    <w:p>
      <w:pPr>
        <w:spacing w:after="0" w:line="2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we may have difficulty identifying and enrolling patients for any planned clinical trials because the conditions for which we plan to evaluate our current product candidates are rare diseases and we anticipate that there will be limited patient pools from which to draw for clinical trials. Further, because screening for many of these diseases is not widely adopted, and because it can be difficult to diagnose these diseases in the absence of screening, we may have difficulty finding patients who are eligible to participate in our studies or trials. Our clinical trials for RLYB116 may compete with other clinical trials for product candidates that are being tested for the same indications. This competition will reduce the number and types of patients available to us because some patients who might have opted to enroll in our trials may instead opt to enroll in a trial being conducted by one of our competitors. Furthermore, any negative results we may report in clinical trials of any of our product candidates may make it difficult or impossible to recruit and retain patients in other clinical trials of that same or a similar product candidate.</w:t>
      </w:r>
    </w:p>
    <w:p>
      <w:pPr>
        <w:spacing w:after="0" w:line="20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Outside of the United States, our ability to initiate, enroll and complete a clinical trial successfully is subject to numerous additional risks, including:</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difficulty in establishing or managing relationships with CROs and physicians;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different standards for the conduct of clinical trials;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251" w:lineRule="exact"/>
        <w:rPr>
          <w:rFonts w:ascii="Times New Roman" w:cs="Times New Roman" w:eastAsia="Times New Roman" w:hAnsi="Times New Roman"/>
          <w:sz w:val="18"/>
          <w:szCs w:val="18"/>
          <w:color w:val="auto"/>
        </w:rPr>
      </w:pPr>
    </w:p>
    <w:p>
      <w:pPr>
        <w:ind w:left="660" w:right="620" w:hanging="328"/>
        <w:spacing w:after="0" w:line="286" w:lineRule="auto"/>
        <w:tabs>
          <w:tab w:leader="none" w:pos="656"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may not be able to initiate or continue clinical trials required by the FDA, EMA or other regulatory authorities if we cannot enroll a sufficient number of eligible patients to participate in the clinical trials. If we have difficulty enrolling a sufficient number of patients to conduct our clinical trials as planned, we may need to delay, limit or terminate ongoing or planned clinical trials. Delays or failures in planned patient enrollment or retention may result in increased costs or program delays, which could have a harmful effect on our ability to develop our product candidates or could render further development impossible.</w:t>
      </w:r>
    </w:p>
    <w:p>
      <w:pPr>
        <w:spacing w:after="0" w:line="2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If we continue to progress the development of our product candidates, any product candidates that we develop or the administration thereof, may cause serious adverse events or undesirable side effects, which may halt their clinical development, delay or prevent marketing approval, or, if approved, require them to be taken off the market, include safety warnings, or otherwise limit their sales.</w:t>
      </w:r>
    </w:p>
    <w:p>
      <w:pPr>
        <w:spacing w:after="0" w:line="251" w:lineRule="auto"/>
        <w:rPr>
          <w:sz w:val="20"/>
          <w:szCs w:val="20"/>
          <w:color w:val="auto"/>
        </w:rPr>
      </w:pPr>
      <w:r>
        <w:rPr>
          <w:rFonts w:ascii="Arial" w:cs="Arial" w:eastAsia="Arial" w:hAnsi="Arial"/>
          <w:sz w:val="18"/>
          <w:szCs w:val="18"/>
          <w:color w:val="auto"/>
        </w:rPr>
        <w:t>Adverse events or undesirable side effects caused by any product candidates we develop could cause us or regulatory authorities or IRBs, IECs or DSMBs, where applicable, to interrupt, delay, or halt clinical trials and, if we seek approval of any such product candidate, could result in a more restrictive label, imposition of a Risk Evaluation and Mitigation Strategy ("REMS") program by the FDA or the delay or denial of regulatory approval by the FDA, EMA or other comparable foreign regulatory authorities. Additionally, the administration process or related procedures associated with our product candidates also may cause adverse side effects. Even if we determine that serious adverse events are unrelated to study treatment, such occurrences could affect patient recruitment or the ability of enrolled patients to complete the trial. Results of any clinical trial we conduct could reveal a high and unacceptable severity and prevalence of side effects. For example, complement inhibitors have, by design, immunosuppressive effects and, in some cases, may be administered to patients with significantly compromised health. As a result, administration of RLYB116 could make patients more susceptible to infection. The chronic dosing of patients with RLYB116 could lead to an immune response that causes adverse reactions or impairs the activity and/or efficacy of RLYB116. Patients may develop an allergic reaction to the drug and/or develop antibodies directed at RLYB116, or may require immunization with a meningococcal vaccine and prophylactic antibiotics. An immune response that causes adverse reactions or impairs the activity of RLYB116 could cause a delay in or termination of our development plans.</w:t>
      </w:r>
    </w:p>
    <w:p>
      <w:pPr>
        <w:spacing w:after="0" w:line="21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Some potential therapeutics that initially showed therapeutic promise in early-stage trials have later been found to cause side effects that prevented their further development. In addition, side effects could affect patient recruitment or the ability of enrolled patients to complete a trial or result in potential clinical trial or product liability claims. Inadequate training or failures by clinical trial personnel in recognizing or managing the potential side effects of our product candidates could result in patient injury or death. Furthermore, clinical trials by their nature utilize a sample of the potential patient population. With a limited number of subjects and limited duration of exposure, rare and severe side effects of our product candidates or those of our competitors may only be uncovered when a significantly larger number of patients have been exposed to the drug.</w:t>
      </w:r>
    </w:p>
    <w:p>
      <w:pPr>
        <w:spacing w:after="0" w:line="21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If we or others later identify undesirable side effects caused by any product candidate that we develop after the product is approved, several negative consequences could result, which could materially harm our business, including:</w:t>
      </w:r>
    </w:p>
    <w:p>
      <w:pPr>
        <w:spacing w:after="0" w:line="180"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251" w:lineRule="exact"/>
        <w:rPr>
          <w:rFonts w:ascii="Times New Roman" w:cs="Times New Roman" w:eastAsia="Times New Roman" w:hAnsi="Times New Roman"/>
          <w:sz w:val="18"/>
          <w:szCs w:val="18"/>
          <w:color w:val="auto"/>
        </w:rPr>
      </w:pPr>
    </w:p>
    <w:p>
      <w:pPr>
        <w:ind w:left="660" w:right="240" w:hanging="328"/>
        <w:spacing w:after="0" w:line="286" w:lineRule="auto"/>
        <w:tabs>
          <w:tab w:leader="none" w:pos="656"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require additional warnings on the label, limit the approved use of such product candidate, or otherwise restrict distribution or marketing such as through requiring adoption of a REMS program;</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conduct additional clinical trials;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we could be sued and held liable for harm caused to patients; and</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 may suffer.</w:t>
      </w:r>
    </w:p>
    <w:p>
      <w:pPr>
        <w:spacing w:after="0" w:line="2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cannot predict whether our product candidates will cause toxicities in humans that would preclude or lead to the revocation of marketing approval based on preclinical studies or early-stage clinical trials. Even if the side effects do not preclude the drug from obtaining or maintaining marketing approval, undesirable side effects may inhibit market acceptance of the approved product due to its tolerability versus other therapies. Any of these events could prevent us from achieving or maintaining market acceptance of a product candidate, if approved, and could significantly harm our business, results of operations, and prospects.</w:t>
      </w:r>
    </w:p>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The marketing approval processes of the FDA, EMA and comparable foreign regulatory authorities, including the MHRA, are lengthy, time- consuming and inherently unpredictable, and if we continue to progress the development of our product candidates, and are ultimately unable to obtain marketing approval for RLYB116 or any of our other product candidates, our business will be substantially harmed.</w:t>
      </w:r>
    </w:p>
    <w:p>
      <w:pPr>
        <w:ind w:right="20"/>
        <w:spacing w:after="0" w:line="251" w:lineRule="auto"/>
        <w:rPr>
          <w:sz w:val="20"/>
          <w:szCs w:val="20"/>
          <w:color w:val="auto"/>
        </w:rPr>
      </w:pPr>
      <w:r>
        <w:rPr>
          <w:rFonts w:ascii="Arial" w:cs="Arial" w:eastAsia="Arial" w:hAnsi="Arial"/>
          <w:sz w:val="18"/>
          <w:szCs w:val="18"/>
          <w:color w:val="auto"/>
        </w:rPr>
        <w:t>In the United States, we are not permitted to market a product candidate until we receive approval of a Biologics License Application ("BLA") or a New Drug Application ("NDA") from the FDA. The process of obtaining BLA and NDA approval is expensive, often takes many years and can vary substantially based upon the type, complexity and novelty of the products involved. Approval policies or regulations may change, and the FDA and other regulatory authorities have substantial discretion in the approval process, including the ability to delay, limit or deny approval of a product candidate for many reasons. In addition, the FDA may require post-approval clinical trials or studies as a condition of approval, which also may be costly. The FDA approval for a limited indication or approval with required warning language, such as a boxed warning, could significantly impact our ability to successfully market our product candidates. The FDA also may require adoption of a REMS requiring prescriber training, post-market registries, or otherwise restricting the marketing and dissemination of these products. Certain of our product candidates will rely on delivery systems, such as PFSs, pen-injectors and/or autoinjectors, and may ultimately be regulated as a drug/device combination product. Although the FDA and similar foreign regulatory agencies have systems in place for the review and approval of combination products, we may experience delays in the development and commercialization of our product candidates due to regulatory timing constraints and uncertainties in the product development and approval process. Despite the time and expense invested in the clinical development of product candidates, regulatory approval is never guaranteed for our product candidates. Assuming successful clinical development, we intend to seek product approvals in countries outside the United States, including in Europe. As a result, we would be subject to regulation by the EMA, as well as the other regulatory agencies in these countries.</w:t>
      </w:r>
    </w:p>
    <w:p>
      <w:pPr>
        <w:spacing w:after="0" w:line="21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Of the large number of drugs in development, only a small percentage successfully complete the marketing approval processes and are commercialized. This lengthy approval process, as well as the unpredictability of future clinical trial results, may result in our failing to obtain marketing approval to market our product candidates and we may be forced to abandon our development efforts for our product candidate, which would significantly harm our business, results of operations, and prospects.</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time required to obtain approval by the FDA, EMA and other comparable foreign regulatory authorities is unpredictable but typically takes many years following the commencement of clinical trials and depends upon numerous factors. In addition, approval policies, regulations, or the type and amount of clinical data necessary to gain approval may change during a product candidate’s clinical development and may vary among jurisdictions. We have not obtained marketing approval for any product candidate and it is possible that we will never obtain marketing approval for any product candidate.</w:t>
      </w:r>
    </w:p>
    <w:p>
      <w:pPr>
        <w:spacing w:after="0" w:line="20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Prior to obtaining approval to commercialize a product candidate in the United States or abroad, we must demonstrate to the satisfaction of the FDA, EMA or other comparable foreign regulatory authority, that such product candidates are safe and effective for their intended uses. Data obtained from preclinical studies and clinical trials are susceptible to varying interpretations, and regulatory authorities may not interpret our data as favorably as we do, which may further delay, limit, or prevent development efforts, clinical trials, or marketing approval. Even if we believe the preclinical or clinical data for our product candidates are sufficient to support approval, such data may not be considered sufficient to support approval by the FDA, EMA and other comparable regulatory authorities.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If we continue to progress the development of our product candidates, the FDA, EMA or other comparable foreign regulatory authority can delay, limit, or deny approval of RLYB116 or any of our other product candidates that we develop or require us to conduct additional preclinical or clinical testing or abandon a program for many reasons, including, but not limited to:</w:t>
      </w:r>
    </w:p>
    <w:p>
      <w:pPr>
        <w:spacing w:after="0" w:line="209"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FDA, EMA or other comparable foreign regulatory authorities may disagree with the design or implementation of our clinical trials;</w:t>
      </w:r>
    </w:p>
    <w:p>
      <w:pPr>
        <w:spacing w:after="0" w:line="262" w:lineRule="exact"/>
        <w:rPr>
          <w:rFonts w:ascii="Times New Roman" w:cs="Times New Roman" w:eastAsia="Times New Roman" w:hAnsi="Times New Roman"/>
          <w:sz w:val="17"/>
          <w:szCs w:val="17"/>
          <w:color w:val="auto"/>
        </w:rPr>
      </w:pPr>
    </w:p>
    <w:p>
      <w:pPr>
        <w:ind w:left="660" w:right="380" w:hanging="328"/>
        <w:spacing w:after="0" w:line="286" w:lineRule="auto"/>
        <w:tabs>
          <w:tab w:leader="none" w:pos="656"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satisfaction of the FDA, EMA or other comparable foreign regulatory authorities that our product candidate is safe and effective for its proposed indication;</w:t>
      </w:r>
    </w:p>
    <w:p>
      <w:pPr>
        <w:spacing w:after="0" w:line="180" w:lineRule="exact"/>
        <w:rPr>
          <w:rFonts w:ascii="Times New Roman" w:cs="Times New Roman" w:eastAsia="Times New Roman" w:hAnsi="Times New Roman"/>
          <w:sz w:val="18"/>
          <w:szCs w:val="18"/>
          <w:color w:val="auto"/>
        </w:rPr>
      </w:pPr>
    </w:p>
    <w:p>
      <w:pPr>
        <w:ind w:left="660" w:right="40" w:hanging="328"/>
        <w:spacing w:after="0" w:line="286" w:lineRule="auto"/>
        <w:tabs>
          <w:tab w:leader="none" w:pos="656"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serious and unexpected drug-related side effects experienced by participants in our clinical trials or by individuals using drugs similar to our product candidates, or other products containing an active ingredient in our product candidates;</w:t>
      </w:r>
    </w:p>
    <w:p>
      <w:pPr>
        <w:spacing w:after="0" w:line="180" w:lineRule="exact"/>
        <w:rPr>
          <w:rFonts w:ascii="Times New Roman" w:cs="Times New Roman" w:eastAsia="Times New Roman" w:hAnsi="Times New Roman"/>
          <w:sz w:val="18"/>
          <w:szCs w:val="18"/>
          <w:color w:val="auto"/>
        </w:rPr>
      </w:pPr>
    </w:p>
    <w:p>
      <w:pPr>
        <w:ind w:left="660" w:right="220" w:hanging="328"/>
        <w:spacing w:after="0" w:line="286" w:lineRule="auto"/>
        <w:tabs>
          <w:tab w:leader="none" w:pos="656"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negative or ambiguous results from our clinical trials or results that may not meet the level of statistical significance required by the FDA, EMA or other comparable foreign regulatory authorities for approval;</w:t>
      </w:r>
    </w:p>
    <w:p>
      <w:pPr>
        <w:spacing w:after="0" w:line="180" w:lineRule="exact"/>
        <w:rPr>
          <w:rFonts w:ascii="Times New Roman" w:cs="Times New Roman" w:eastAsia="Times New Roman" w:hAnsi="Times New Roman"/>
          <w:sz w:val="18"/>
          <w:szCs w:val="18"/>
          <w:color w:val="auto"/>
        </w:rPr>
      </w:pPr>
    </w:p>
    <w:p>
      <w:pPr>
        <w:ind w:left="660" w:right="580" w:hanging="328"/>
        <w:spacing w:after="0" w:line="286" w:lineRule="auto"/>
        <w:tabs>
          <w:tab w:leader="none" w:pos="656"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population studied in the clinical trial may not be sufficiently broad or representative to assure safety and efficacy in the full population for which we seek approval;</w:t>
      </w:r>
    </w:p>
    <w:p>
      <w:pPr>
        <w:spacing w:after="0" w:line="180" w:lineRule="exact"/>
        <w:rPr>
          <w:rFonts w:ascii="Times New Roman" w:cs="Times New Roman" w:eastAsia="Times New Roman" w:hAnsi="Times New Roman"/>
          <w:sz w:val="18"/>
          <w:szCs w:val="18"/>
          <w:color w:val="auto"/>
        </w:rPr>
      </w:pPr>
    </w:p>
    <w:p>
      <w:pPr>
        <w:jc w:val="both"/>
        <w:ind w:left="660" w:right="440" w:hanging="328"/>
        <w:spacing w:after="0" w:line="268" w:lineRule="auto"/>
        <w:tabs>
          <w:tab w:leader="none" w:pos="656"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FDA, EMA or other comparable foreign regulatory authorities may not accept clinical data from trials which are conducted at clinical facilities or in countries where the standard of care is potentially different from that of the United States or the applicable foreign jurisdiction;</w:t>
      </w:r>
    </w:p>
    <w:p>
      <w:pPr>
        <w:spacing w:after="0" w:line="1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that our product candidate’s clinical and other benefits outweigh its safety risks;</w:t>
      </w:r>
    </w:p>
    <w:p>
      <w:pPr>
        <w:spacing w:after="0" w:line="251" w:lineRule="exact"/>
        <w:rPr>
          <w:rFonts w:ascii="Times New Roman" w:cs="Times New Roman" w:eastAsia="Times New Roman" w:hAnsi="Times New Roman"/>
          <w:sz w:val="18"/>
          <w:szCs w:val="18"/>
          <w:color w:val="auto"/>
        </w:rPr>
      </w:pPr>
    </w:p>
    <w:p>
      <w:pPr>
        <w:ind w:left="660" w:right="60" w:hanging="328"/>
        <w:spacing w:after="0" w:line="286" w:lineRule="auto"/>
        <w:tabs>
          <w:tab w:leader="none" w:pos="656"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FDA, EMA or other comparable foreign regulatory authorities may disagree with our interpretation of data from preclinical studies or clinical trials;</w:t>
      </w:r>
    </w:p>
    <w:p>
      <w:pPr>
        <w:spacing w:after="0" w:line="180" w:lineRule="exact"/>
        <w:rPr>
          <w:rFonts w:ascii="Times New Roman" w:cs="Times New Roman" w:eastAsia="Times New Roman" w:hAnsi="Times New Roman"/>
          <w:sz w:val="18"/>
          <w:szCs w:val="18"/>
          <w:color w:val="auto"/>
        </w:rPr>
      </w:pPr>
    </w:p>
    <w:p>
      <w:pPr>
        <w:ind w:left="660" w:right="40" w:hanging="328"/>
        <w:spacing w:after="0" w:line="268" w:lineRule="auto"/>
        <w:tabs>
          <w:tab w:leader="none" w:pos="656"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data collected from clinical trials of our product candidates may not be acceptable or sufficient to support the submission of a BLA or NDA or to obtain regulatory approval in the United States or elsewhere, and we may be required to conduct additional clinical trials;</w:t>
      </w:r>
    </w:p>
    <w:p>
      <w:pPr>
        <w:spacing w:after="0" w:line="196" w:lineRule="exact"/>
        <w:rPr>
          <w:rFonts w:ascii="Times New Roman" w:cs="Times New Roman" w:eastAsia="Times New Roman" w:hAnsi="Times New Roman"/>
          <w:sz w:val="18"/>
          <w:szCs w:val="18"/>
          <w:color w:val="auto"/>
        </w:rPr>
      </w:pPr>
    </w:p>
    <w:p>
      <w:pPr>
        <w:ind w:left="660" w:right="1000" w:hanging="328"/>
        <w:spacing w:after="0" w:line="286" w:lineRule="auto"/>
        <w:tabs>
          <w:tab w:leader="none" w:pos="656"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FDA’s or the applicable foreign regulatory authority’s disagreement regarding the formulation, the labeling, and/or the specifications of our product candidates;</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time may be required to obtain regulatory approval for our product candidates because they are combination products;</w:t>
      </w:r>
    </w:p>
    <w:p>
      <w:pPr>
        <w:spacing w:after="0" w:line="251" w:lineRule="exact"/>
        <w:rPr>
          <w:rFonts w:ascii="Times New Roman" w:cs="Times New Roman" w:eastAsia="Times New Roman" w:hAnsi="Times New Roman"/>
          <w:sz w:val="18"/>
          <w:szCs w:val="18"/>
          <w:color w:val="auto"/>
        </w:rPr>
      </w:pPr>
    </w:p>
    <w:p>
      <w:pPr>
        <w:ind w:left="660" w:right="480" w:hanging="328"/>
        <w:spacing w:after="0" w:line="317" w:lineRule="auto"/>
        <w:tabs>
          <w:tab w:leader="none" w:pos="656"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FDA, EMA or other comparable foreign regulatory authorities may fail to approve or find deficiencies with the manufacturing processes or facilities of third-party manufacturers with which we contract for clinical and commercial supplies; and</w:t>
      </w:r>
    </w:p>
    <w:p>
      <w:pPr>
        <w:spacing w:after="0" w:line="144" w:lineRule="exact"/>
        <w:rPr>
          <w:rFonts w:ascii="Times New Roman" w:cs="Times New Roman" w:eastAsia="Times New Roman" w:hAnsi="Times New Roman"/>
          <w:sz w:val="17"/>
          <w:szCs w:val="17"/>
          <w:color w:val="auto"/>
        </w:rPr>
      </w:pPr>
    </w:p>
    <w:p>
      <w:pPr>
        <w:ind w:left="660" w:right="60" w:hanging="328"/>
        <w:spacing w:after="0" w:line="246" w:lineRule="auto"/>
        <w:tabs>
          <w:tab w:leader="none" w:pos="656"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policies, regulations, and guidelines of the FDA, EMA or other comparable foreign regulatory authorities regarding the development, approval, and marketing of drugs and biologics may significantly change, including but not limited to, in the U.S., as a result of the 2025 change in presidential administration, which may render our clinical data insufficient for approval or restrict us from marketing our product candidates in the manner in which we anticipate.</w:t>
      </w:r>
    </w:p>
    <w:p>
      <w:pPr>
        <w:spacing w:after="0" w:line="19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have never obtained marketing approval for a product candidate. If we continue to progress the development of our product candidates, any delay in obtaining, or an inability to obtain, marketing approvals would prevent us from commercializing our product candidates, generating revenues, and achieving and sustaining profitability.</w:t>
      </w:r>
    </w:p>
    <w:p>
      <w:pPr>
        <w:spacing w:after="0" w:line="211" w:lineRule="exact"/>
        <w:rPr>
          <w:sz w:val="20"/>
          <w:szCs w:val="20"/>
          <w:color w:val="auto"/>
        </w:rPr>
      </w:pPr>
    </w:p>
    <w:p>
      <w:pPr>
        <w:ind w:right="660"/>
        <w:spacing w:after="0" w:line="294" w:lineRule="auto"/>
        <w:rPr>
          <w:sz w:val="20"/>
          <w:szCs w:val="20"/>
          <w:color w:val="auto"/>
        </w:rPr>
      </w:pPr>
      <w:r>
        <w:rPr>
          <w:rFonts w:ascii="Arial" w:cs="Arial" w:eastAsia="Arial" w:hAnsi="Arial"/>
          <w:sz w:val="18"/>
          <w:szCs w:val="18"/>
          <w:b w:val="1"/>
          <w:bCs w:val="1"/>
          <w:i w:val="1"/>
          <w:iCs w:val="1"/>
          <w:color w:val="auto"/>
        </w:rPr>
        <w:t>Our product candidates target rare diseases and conditions, and if we continue to progress the development of our product candidates, the market opportunities for RLYB116 or any of our other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product candidates, if approved, may be smaller than we anticipate. We must be able to successfully identify patients and capture a significant market share to achieve profitability and growth.</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product candidates target rare diseases and conditions. With respect to RLYB116, we estimate that there are approximately 8,000 patients with immune PTR and up to 10,000 patients with refractory APS in the United States. Our projections of the number of eligible patients are based on our beliefs and estimates. These estimates have been derived from a variety of sources, including scientific literature, population statistics and market research, and may prove to be incorrect. Further, new sources may reveal a change in the estimated number of eligible patients, and the number of patients may turn out to be lower than expected. Additionally, the potentially addressable patient population for our current programs or future product candidates may be limited or may not be amenable to treatment with our product candidates, and new patients may become increasingly difficult to identify or gain access to. For example, even if we obtain FDA approval for RLYB116, the drug may be approved for a target population that is more limited than what we currently anticipate. Furthermore, even if we obtain significant market share for any product candidate, if approved, the potential target populations for our product candidates are for rare diseases, and we may never achieve profitability.</w:t>
      </w:r>
    </w:p>
    <w:p>
      <w:pPr>
        <w:spacing w:after="0" w:line="21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Further, in many cases there are either limited screening or diagnostic tests for the indications our product candidates are being developed to potentially treat. The lack of screening and diagnostic tests, coupled with the fact that there is frequently limited awareness among certain health care providers concerning the rare diseases we may seek to treat, often means that a proper diagnosis can, and frequently does, take years to identify (or an appropriate diagnosis may never be made for certain patients). As a result, even if one of our product candidates is approved for commercial sale, we may not be able to grow our revenues due to difficulty in identifying eligible patients. There can be no guarantee that any of our programs will be effective at identifying patients that will benefit from our product candidates, and even if we can identify patients that our product candidates can help, the number of patients that our product candidates may ultimately treat may turn out to be lower than we expect, they may not be otherwise amenable to treatment with our product candidates, or new patients may become increasingly difficult to identify, all of which may adversely affect our ability to grow and generate revenue and adversely affect our results of operations and our business. In addition, even in instances where we are able to expand the number of patients being treated, the number may be offset by the number of patients that discontinue use of the applicable product in a given period resulting in a net loss of patients and potentially decreased revenue.</w:t>
      </w:r>
    </w:p>
    <w:p>
      <w:pPr>
        <w:spacing w:after="0" w:line="219" w:lineRule="exact"/>
        <w:rPr>
          <w:sz w:val="20"/>
          <w:szCs w:val="20"/>
          <w:color w:val="auto"/>
        </w:rPr>
      </w:pPr>
    </w:p>
    <w:p>
      <w:pPr>
        <w:ind w:right="1040"/>
        <w:spacing w:after="0" w:line="259" w:lineRule="auto"/>
        <w:rPr>
          <w:sz w:val="20"/>
          <w:szCs w:val="20"/>
          <w:color w:val="auto"/>
        </w:rPr>
      </w:pPr>
      <w:r>
        <w:rPr>
          <w:rFonts w:ascii="Arial" w:cs="Arial" w:eastAsia="Arial" w:hAnsi="Arial"/>
          <w:sz w:val="18"/>
          <w:szCs w:val="18"/>
          <w:b w:val="1"/>
          <w:bCs w:val="1"/>
          <w:i w:val="1"/>
          <w:iCs w:val="1"/>
          <w:color w:val="auto"/>
        </w:rPr>
        <w:t>We face significant competition from biotechnology and pharmaceutical companies, and if we continue to progress the development of our product candidates, our operating results will suffer if we fail to compete effectively.</w:t>
      </w:r>
    </w:p>
    <w:p>
      <w:pPr>
        <w:spacing w:after="0" w:line="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biotechnology and pharmaceutical industries are highly competitive and subject to significant and rapid technological change. Our success is highly dependent on our ability to acquire, develop, and obtain marketing approval for new products on a cost-effective basis and to market them successfully. If a product candidate we develop is approved, we will face intense competition. There are many public and private biopharmaceutical companies, universities, government agencies and other research organizations actively engaged in the research and development of products that may be like our product candidates or address similar markets. Mergers and acquisitions in the pharmaceutical, biotechnology and diagnostic industries may result in even more resources being concentrated among a smaller number of our competitors. These competitors also compete with us in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In addition, the number of companies seeking to develop and commercialize products and therapies competing with our product candidates is likely to increase. However, we seek to build our portfolio with key differentiating attributes to provide a competitive advantage in the markets we target. If we successfully develop and, if approved, commercialize RLYB116, this therapy may compete with anticoagulants such as Warfarin, or potentially be used in conjunction, with currently marketed treatments and any new therapies that may become available in the future.</w:t>
      </w:r>
    </w:p>
    <w:p>
      <w:pPr>
        <w:spacing w:after="0" w:line="20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If we continue to progress the development of our product candidates, competition could render any product candidate we develop obsolete, less competitive, or uneconomical. In addition, product candidates developed by our competitors may prove to be more safe or more effective than our product candidates. Our competitors may,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300" w:hanging="328"/>
        <w:spacing w:after="0" w:line="286" w:lineRule="auto"/>
        <w:tabs>
          <w:tab w:leader="none" w:pos="656"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have significantly greater name recognition and financial, manufacturing, marketing, product development, technical, commercial infrastructure, and human resources than we do;</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more effectively recruit and retain qualified scientific and management personnel;</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more effectively establish clinical trial sites and patient registration;</w:t>
      </w:r>
    </w:p>
    <w:p>
      <w:pPr>
        <w:spacing w:after="0" w:line="251" w:lineRule="exact"/>
        <w:rPr>
          <w:rFonts w:ascii="Times New Roman" w:cs="Times New Roman" w:eastAsia="Times New Roman" w:hAnsi="Times New Roman"/>
          <w:sz w:val="18"/>
          <w:szCs w:val="18"/>
          <w:color w:val="auto"/>
        </w:rPr>
      </w:pPr>
    </w:p>
    <w:p>
      <w:pPr>
        <w:ind w:left="660" w:hanging="328"/>
        <w:spacing w:after="0" w:line="286" w:lineRule="auto"/>
        <w:tabs>
          <w:tab w:leader="none" w:pos="656"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develop and commercialize products that are safer, more effective, less expensive, more convenient, or easier to administer, or have fewer or less severe side effects;</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obtain quicker regulatory approval;</w:t>
      </w:r>
    </w:p>
    <w:p>
      <w:pPr>
        <w:spacing w:after="0" w:line="251" w:lineRule="exact"/>
        <w:rPr>
          <w:rFonts w:ascii="Times New Roman" w:cs="Times New Roman" w:eastAsia="Times New Roman" w:hAnsi="Times New Roman"/>
          <w:sz w:val="18"/>
          <w:szCs w:val="18"/>
          <w:color w:val="auto"/>
        </w:rPr>
      </w:pPr>
    </w:p>
    <w:p>
      <w:pPr>
        <w:ind w:left="660" w:right="680" w:hanging="328"/>
        <w:spacing w:after="0" w:line="286" w:lineRule="auto"/>
        <w:tabs>
          <w:tab w:leader="none" w:pos="656"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better protect their patents and intellectual property or acquire technologies that are complementary to, or necessary for, our programs;</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implement more effective approaches to sales, marketing, pricing, coverage, market access, and reimbursement; or</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form more advantageous strategic alliances or collaborations.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If we are not able to effectively compete for any of the foregoing reasons, our business will be materially harmed.</w:t>
      </w:r>
    </w:p>
    <w:p>
      <w:pPr>
        <w:spacing w:after="0" w:line="25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Disruptions in the FDA and other government agencies caused by funding shortages or global health concerns could hinder their ability to hire and retain key leadership and other personnel, or otherwise prevent new products and services from being developed or commercialized in a timely manner, which, if we continue to progress the development of our product candidates, could negatively impact our business.</w:t>
      </w:r>
    </w:p>
    <w:p>
      <w:pPr>
        <w:jc w:val="both"/>
        <w:ind w:right="60"/>
        <w:spacing w:after="0" w:line="254"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21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or approved by necessary government agencies, which would adversely affect our business. For example, in recent years, including for 43 days beginning on October 1, 2025 and for 35 days beginning on December 22, 2018, the U.S. government has shut down several times and certain regulatory agencies, such as the FDA, have had to furlough critical employees and stop critical activities. The Trump Administration has reduced the number of employees serving in government agencies, including the FDA. If a prolonged government shutdown occurs, or if the U.S. government takes other personnel actions, it could significantly impact the ability of the FDA to timely review and process our regulatory submissions, which could have a material adverse effect on our business.</w:t>
      </w:r>
    </w:p>
    <w:p>
      <w:pPr>
        <w:spacing w:after="0" w:line="21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Even if we obtain marketing approval for a product candidate in the United States, we or our current or future collaborators may never obtain approval for or commercialize the product candidate in any other jurisdiction, which would limit our ability to realize its full market potential.</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order to market any product in a particular jurisdiction, we or our current or future collaborators must establish and comply with numerous and varying regulatory requirements regarding safety and efficacy on a country-by-country basis. Approval by the FDA in the United States does not ensure approval by comparable regulatory authorities in other countries or jurisdictions. However, the failure to obtain approval in one jurisdiction may negatively impact our or our collaborators’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21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Approval processes vary among countries and can involve additional product testing and validation and additional administrative review periods. Seeking foreign regulatory approval could result in difficulties and</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or our collaborators fail to comply with regulatory requirements in international markets or to obtain and maintain required approvals, or if regulatory approvals in international markets are delayed, our target market will be reduced and we will be unable to realize the full market potential of any product we develop.</w:t>
      </w:r>
    </w:p>
    <w:p>
      <w:pPr>
        <w:spacing w:after="0" w:line="211"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b w:val="1"/>
          <w:bCs w:val="1"/>
          <w:i w:val="1"/>
          <w:iCs w:val="1"/>
          <w:color w:val="auto"/>
        </w:rPr>
        <w:t>Even if we obtain marketing approval for any of our product candidates, we will still face extensive and ongoing regulatory requirements and obligations and continued regulatory review, which may result in significant additional expense. We may be subject to penalties if we fail to comply with regulatory requirements or experience unanticipated problems with any product candidates.</w:t>
      </w:r>
    </w:p>
    <w:p>
      <w:pPr>
        <w:ind w:right="20"/>
        <w:spacing w:after="0" w:line="254" w:lineRule="auto"/>
        <w:rPr>
          <w:sz w:val="20"/>
          <w:szCs w:val="20"/>
          <w:color w:val="auto"/>
        </w:rPr>
      </w:pPr>
      <w:r>
        <w:rPr>
          <w:rFonts w:ascii="Arial" w:cs="Arial" w:eastAsia="Arial" w:hAnsi="Arial"/>
          <w:sz w:val="18"/>
          <w:szCs w:val="18"/>
          <w:color w:val="auto"/>
        </w:rPr>
        <w:t>Any product candidate for which we obtain marketing approval will be subject to extensive and ongoing requirements of the FDA and other regulatory authorities. These requirements include submissions of safety and other post- marketing information and reports, establishment registration and drug listing requirements, continued compliance with the FDA's current Good Manufacturing Practice ("cGMP") requirements regarding the distribution of samples to physicians and recordkeeping and Good Laboratory Practice ("GLP") and GCP requirements for non-clinical studies and any clinical trials that we conduct post-approval.</w:t>
      </w:r>
    </w:p>
    <w:p>
      <w:pPr>
        <w:spacing w:after="0" w:line="2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FDA may also require costly post-marketing studies or clinical trials and surveillance to monitor the safety or efficacy of a product. Additionally, the FDA closely regulates the post-approval marketing and promotion of drugs to ensure drugs are marketed only for the approved indications and in a manner that is consistent with the provisions of the approved labeling. If we market our products for uses beyond their approved indications or otherwise inconsistent with the FDA-approved labeling, we may be subject to enforcement action for off-label marketing by the FDA and other federal and state enforcement agencies, including the Department of Justice. Violation of the Federal Food, Drug, and Cosmetic Act ("FDCA") and other statutes, including the False Claims Act, and equivalent legislation in other countries relating to the promotion and advertising of prescription products may also lead to investigations or allegations of violations of federal and state and other countries’ health care fraud and abuse laws and state consumer protection laws. Even if it is later determined we were not in violation of these laws, we may be faced with negative publicity, incur significant expenses defending our actions and have to divert significant management resources from other matters.</w:t>
      </w:r>
    </w:p>
    <w:p>
      <w:pPr>
        <w:spacing w:after="0" w:line="21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 but not limited to:</w:t>
      </w:r>
    </w:p>
    <w:p>
      <w:pPr>
        <w:spacing w:after="0" w:line="180"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manufacturing such products;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in the labeling or on the marketing of products;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product distribution or use;</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post-marketing studies or additional post-marketing clinical trials;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issuance of warning letters or untitled letters;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refusal to approve pending applications or supplements to approved applications that we submit, or delays in such approvals;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recalls or market withdrawals of products;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fines, restitution, or disgorgement of profits or revenues;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suspension or termination of ongoing clinical trials;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suspension or withdrawal of marketing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refusal to permit the import or export of our products;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and</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consent decrees, or the imposition of civil or criminal penalties.</w:t>
      </w:r>
    </w:p>
    <w:p>
      <w:pPr>
        <w:spacing w:after="0" w:line="25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If we obtain FDA approval for RLYB116, safety risks not identified in our prior clinical trials may first appear after we obtain approval and commercialize RLYB116. Any new post-marketing adverse events may significantly impact our ability to market the drugs and may require that we recall and discontinue commercialization of RLYB116. Furthermore, if any confirmatory post-marketing trial fails to confirm the clinical profile or clinical benefits of RLYB116, the FDA may withdraw its approval, which would materially harm our business.</w:t>
      </w:r>
    </w:p>
    <w:p>
      <w:pPr>
        <w:spacing w:after="0" w:line="20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or executive action, either in the United States or abroad. Further, the FDA’s, EMA’s and other comparable regulatory authorities’ policies may change, and additional government regulations may be enacted that could prevent, limit, or delay regulatory approval of a product candidate or increase the costs and regulatory burden of commercialization.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 Furthermore, non-compliance by us or any collaborator with regulatory requirements, including safety monitoring or pharmacovigilance, may also result in significant financial penalties, which would adversely affect our business.</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If we continue to progress the development of our product candidates, we may seek Fast Track designation, Breakthrough Therapy designation, or Priority Medicines ("PRIME") designation for our product candidates, but we might not receive any such designation, and even if we do, such designation may not actually lead to a faster development or regulatory review or approval process.</w:t>
      </w:r>
    </w:p>
    <w:p>
      <w:pPr>
        <w:ind w:right="40"/>
        <w:spacing w:after="0" w:line="252" w:lineRule="auto"/>
        <w:rPr>
          <w:sz w:val="20"/>
          <w:szCs w:val="20"/>
          <w:color w:val="auto"/>
        </w:rPr>
      </w:pPr>
      <w:r>
        <w:rPr>
          <w:rFonts w:ascii="Arial" w:cs="Arial" w:eastAsia="Arial" w:hAnsi="Arial"/>
          <w:sz w:val="18"/>
          <w:szCs w:val="18"/>
          <w:color w:val="auto"/>
        </w:rPr>
        <w:t>If a drug is intended for the treatment of a serious or life-threatening condition, and non-clinical or clinical data demonstrate the potential to address an unmet medical need for this condition, the product candidate may qualify for FDA Fast Track designation, for which sponsors must apply. Sponsors of fast-track products may have more frequent interactions with the FDA, and, in some circumstances, the FDA may initiate review of sections of a fast track product’s application before the application is complete. We may submit an application for Fast Track designation for RLYB116. The FDA has broad discretion whether to grant this designation, and we may not receive it. Moreover, even if we receive Fast Track designation, Fast Track designation does not ensure that we will receive marketing approval and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0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If we continue to progress the development of our product candidates, we also may seek a Breakthrough Therapy designation for some of our product candidates if future results support such designation. A Breakthrough Therapy is defined as a drug (including biologic) that is intended, alone or in combination with one or more other drugs, to treat a serious condition, and preliminary clinical evidence indicates that the drug may demonstrate substantial improvement over existing therapies on one or more clinically significant endpoints, such as substantial treatment effects observed early in clinical development. Sponsors of products that have been designated as breakthrough therapies are eligible to receive more intensive FDA guidance on establishing an efficient drug development program, an organization</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commitment involving senior managers, and may be eligible for rolling review. Drugs designated as breakthrough therapies by the FDA may also be eligible for other expedited review programs, including accelerated approval and priority review, if supported by clinical data at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time the BLA or NDA is submitted to the FDA.</w:t>
      </w:r>
    </w:p>
    <w:p>
      <w:pPr>
        <w:spacing w:after="0" w:line="2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that a product candidate meets the criteria for designation as a Breakthrough Therapy, the FDA may disagree and instead determine not to make such designation. Even if we receive Breakthrough Therapy designation, the receipt of such designation may not result in a faster development or regulatory review or approval process compared to drugs considered for approval under conventional FDA procedures and does not assure ultimate approval by the FDA. In addition, even if a product candidate qualifies as a Breakthrough Therapy, the FDA may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later decide that such product candidate no longer meets the conditions for qualification or decide that the time period for FDA review or approval will not be shortened.</w:t>
      </w:r>
    </w:p>
    <w:p>
      <w:pPr>
        <w:spacing w:after="0" w:line="18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the European Union ("EU") we may seek PRIME designation for some of our product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applicant intends to apply for an initial marketing authorization ("MA") application through the centralized procedure. To be accepted for PRIME, a product candidate must meet the eligibility criteria in respect of its major public health interest and therapeutic innovation based on information that can substantiate the claims. The benefits of a PRIME designation include the appointment of a Committee for Medicinal Products for Human Use (“CHMP”) rapporteur to provide continued support and help to build knowledge ahead of a MA application, early dialogue and scientific advice at key development milestones, and the potential to qualify products for accelerated review, meaning reduction in the review time for an opinion on approvability to be issued earlier in the application process. PRIME enables an applicant to request parallel EMA scientific advice and health technology assessment ("HTA")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212"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If we continue to progress the development of our product candidates, we may be unsuccessful in obtaining or may be unable to maintain the benefits associated with orphan drug designation, including the potential for market exclusivity. If our competitors are able to obtain orphan drug exclusivity for products that constitute the same drug and treat the same indications as RLYB116 or any of our other product candidates, we may not be able to have competing products approved by the applicable regulatory authority for a significant period of time.</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Regulatory authorities in some jurisdictions, including the United States and the EU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of more than 200,000 in the United States where there is no reasonable expectation that the cost of developing the drug will be recovered from sales in the United States. In the EU, the EMA’s Committee for Orphan Medicinal Products evaluates, and the European Commission ("EC") grants, an orphan drug designation principally to promote the development of products that are intended for the diagnosis, prevention or treatment of a life-threatening or chronically debilitating condition affecting not more than five in 10,000 persons in the EU. In addition, the product under consideration is indicated for a condition where there exists no satisfactory method of diagnosis, prevention or treatment authorized in the EU or, if such method exists, that the medicinal product will be of significant benefit to those affected by that condition. We may seek orphan drug designation in the United States and the EU for certain of our product candidates but may be unsuccessful in doing so. There can be no assurance that the FDA or the EMA’s Committee for Orphan Medicinal Products will consider orphan designation for any indication for which we apply or re-apply, or that we will be able to maintain such designation. In the United States, orphan drug designation entitles a party to financial incentives such as opportunities for grant funding towards clinical trial costs, tax advantages and user-fee waivers. Orphan drug designation neither shortens the development time or regulatory review time of a drug nor gives the drug any advantage in the regulatory review or approval process.</w:t>
      </w:r>
    </w:p>
    <w:p>
      <w:pPr>
        <w:spacing w:after="0" w:line="2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a product candidate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same drug or biologic for the same orphan designation for that time period, except in limited circumstances, such as a showing of clinical superiority to the product with orphan drug exclusivity or where the manufacturer is unable to assure sufficient product quantity. In the United States, the exclusivity period is seven years. The applicable exclusivity period is ten years in Europe, but such exclusivity period can be reduced to six years in Europe if a product no longer meets the criteria for orphan designation or if the product is sufficiently profitable so that market exclusivity is no longer justified. Moreover, orphan drug exclusive marketing rights in the United States may be lost if the FDA</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later determines that the request for designation was materially defective or if the manufacturer is unable to assure sufficient quantity of the drug to meet the needs of patients with the rare disease or condition. Similarly, in the EU, the market exclusivity can be broken if the holder of the MA for the original orphan medicinal product is unable to supply sufficient quantities of the medicinal product. In addition, in both the United States and EU, if a different drug is subsequently approved for marketing for the same or a similar indication as any of our product candidates that receive marketing approval, we may face increased competition and lose market share regardless of orphan drug exclusivity, which only protects against approval of the “same” drug for the same indication.</w:t>
      </w:r>
    </w:p>
    <w:p>
      <w:pPr>
        <w:spacing w:after="0" w:line="2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If we continue to progress the development of our product candidates, we may seek accelerated approval by the FDA for one or more of our product candidates. Accelerated approval by the FDA, even if granted for any of our product candidates, may not lead to a faster development or regulatory review or approval process and it does not increase the likelihood that our product candidates will receive marketing approval.</w:t>
      </w:r>
    </w:p>
    <w:p>
      <w:pPr>
        <w:ind w:right="100"/>
        <w:spacing w:after="0" w:line="253" w:lineRule="auto"/>
        <w:rPr>
          <w:sz w:val="20"/>
          <w:szCs w:val="20"/>
          <w:color w:val="auto"/>
        </w:rPr>
      </w:pPr>
      <w:r>
        <w:rPr>
          <w:rFonts w:ascii="Arial" w:cs="Arial" w:eastAsia="Arial" w:hAnsi="Arial"/>
          <w:sz w:val="18"/>
          <w:szCs w:val="18"/>
          <w:color w:val="auto"/>
        </w:rPr>
        <w:t>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As a condition of approval, the FDA requires that a sponsor of a product receiving accelerated approval perform a post-marketing confirmatory clinical trial or trials. In addition, the FDA currently requires as a condition for accelerated approval the pre-submission of promotional materials to FDA for review.</w:t>
      </w:r>
    </w:p>
    <w:p>
      <w:pPr>
        <w:spacing w:after="0" w:line="2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Furthermore, if we decide to submit an application for accelerated approval there can be no assurance that such submission or application will be accepted or that the FDA will determine that the product candidate is eligible for or grant accelerated approval. A failure to obtain any planned accelerated approval for our product candidates would result in a longer time period to commercialization of our product candidates, if approved, could increase the cost of development of our product candidates and could harm our competitive position in the marketplace. If we receive accelerated approval for any of our product candidates, the FDA may withdraw accelerated approval if, among other things, a confirmatory trial required to verify the predicted clinical benefit of the product fails to verify such benefit or if such trial is not conducted with due diligence. Withdrawal of any accelerated approval could substantially harm our business.</w:t>
      </w:r>
    </w:p>
    <w:p>
      <w:pPr>
        <w:spacing w:after="0" w:line="21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If we continue to progress the development of our product candidates, the successful commercialization of any product candidate we develop will depend in part on the extent to which regulatory authorities and private health insurers establish coverage and reimbursement. Failure to obtain or maintain coverage and reimbursement for our product candidates, if approved, could limit our ability to market those products and decrease our ability to generate revenue.</w:t>
      </w:r>
    </w:p>
    <w:p>
      <w:pPr>
        <w:ind w:right="60"/>
        <w:spacing w:after="0" w:line="253" w:lineRule="auto"/>
        <w:rPr>
          <w:sz w:val="20"/>
          <w:szCs w:val="20"/>
          <w:color w:val="auto"/>
        </w:rPr>
      </w:pPr>
      <w:r>
        <w:rPr>
          <w:rFonts w:ascii="Arial" w:cs="Arial" w:eastAsia="Arial" w:hAnsi="Arial"/>
          <w:sz w:val="18"/>
          <w:szCs w:val="18"/>
          <w:color w:val="auto"/>
        </w:rPr>
        <w:t>If any product candidate is approved for marketing, coverage and reimbursement for such product by governmental healthcare programs, such as Medicare and Medicaid, private health insurers, and other third-party payors would be essential for most patients to be able to afford the prescription medication. Our ability to achieve acceptable levels of coverage and reimbursement for products or procedures using our products will therefore have an effect on our ability to successfully commercialize any product candidates we develop. We cannot be sure that coverage and reimbursement will be available for our product candidates, if and when such candidates obtain marketing approval, and any reimbursement that may become available may not be adequate and may be decreased or eliminated in the future.</w:t>
      </w:r>
    </w:p>
    <w:p>
      <w:pPr>
        <w:spacing w:after="0" w:line="21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Moreover, increasing efforts by governmental and third-party payors in the United States to cap or reduce healthcare costs may cause third-party payors to limit both coverage and the level of reimbursement for newly approved products and, as a result, such payors may not cover or provide adequate payment for any product we commercialize. We expect to experience pricing pressures in connection with the sale of our product candidates due to the trend toward managed health care and additional legislative, administrative, or regulatory changes. The downward pressure on healthcare costs in general, particularly prescription drugs and biologics and related administration procedures, has become intense and new products face increasing challenges in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entering the market successfully. Third -party payors are increasingly challenging the price and examining the cost-effectiveness of new products in addition to their safety and efficacy. To obtain or maintain coverage and reimbursement for any product, we may need to conduct expensive pharmacoeconomic studies to demonstrate the medical necessity and cost-effectiveness of our product.</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may also need to provide discounts to purchasers to encourage purchasing of any approved product and rebates to third party payors to increase the possibility of favorable coverage and adequate cost sharing thresholds for patients. We may be required to provide discounts or rebates on any approved product under government healthcare programs or to certain government and private purchasers in order to obtain coverage under federal health care programs such as Medicaid. Participation in such programs would require us to track and report certain drug prices. We may be subject to fines and other penalties if we fail to report such prices accurately.</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 uniform policy for coverage and reimbursement for products exists among third-party payors in the United States. Therefore, coverage and reimbursement for products can differ significantly from payor to payor, and one third-party payor’s decision to cover a particular product does not ensure that other payors will also provide similar coverage. Additionally, the process for determining whether a third-party payor will provide coverage for a product is typically separate from the process for setting the price of such product or establishing the reimbursement rate that the payor will pay for the product once coverage is approved. As a result, the coverage determination process is often a time-consuming and costly process that will require us to provide scientific and clinical support for the use of our product candidates to each payor separately, with no assurance that coverage and reimbursement will be obtained or will be consistent across payors. And, even if products are covered, third party payors may implement various mechanisms to control utilization (e.g., requiring prior approval for coverage for each patient). Additionally, coverage and reimbursement for screening and diagnostic tests associated with any products would be assessed and determined separately. Furthermore, rules and regulations regarding reimbursement change frequently, in some cases at short notice, and we believe that changes in these rules and regulations are likely. If coverage or reimbursement is not available or is available only at limited levels, we may not be able to successfully commercialize our product candidates and may not be able to obtain a satisfactory financial return on our product candidates.</w:t>
      </w:r>
    </w:p>
    <w:p>
      <w:pPr>
        <w:spacing w:after="0" w:line="21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may also be subject to extensive governmental price controls and other market regulations outside of the United States, and we believe the increasing emphasis on cost-containment initiatives in other countries have and will continue to put pressure on the pricing and usage of medical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of the United States, the reimbursement for products we commercialize may be reduced compared with the United States and may be insufficient to generate commercially reasonable revenue and profits.</w:t>
      </w:r>
    </w:p>
    <w:p>
      <w:pPr>
        <w:spacing w:after="0" w:line="21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b w:val="1"/>
          <w:bCs w:val="1"/>
          <w:i w:val="1"/>
          <w:iCs w:val="1"/>
          <w:color w:val="auto"/>
        </w:rPr>
        <w:t>If we continue to progress the development of our product candidates, even if a product candidate we develop receives marketing approval, it may fail to achieve market acceptance by physicians, patients, third-party payors or others in the medical community necessary for commercial success.</w:t>
      </w:r>
    </w:p>
    <w:p>
      <w:pPr>
        <w:spacing w:after="0" w:line="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Even if our product candidates receive regulatory approval, they may not gain market acceptance among physicians, patients, healthcare payors and the medical community. Various factors will influence whether our product candidates are accepted in the market if approved for commercial sale, including, but not limited to:</w:t>
      </w:r>
    </w:p>
    <w:p>
      <w:pPr>
        <w:spacing w:after="0" w:line="20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efficacy, safety and tolerability of our products, and potential advantages compared to alternative treatments;</w:t>
      </w:r>
    </w:p>
    <w:p>
      <w:pPr>
        <w:spacing w:after="0" w:line="251" w:lineRule="exact"/>
        <w:rPr>
          <w:rFonts w:ascii="Times New Roman" w:cs="Times New Roman" w:eastAsia="Times New Roman" w:hAnsi="Times New Roman"/>
          <w:sz w:val="18"/>
          <w:szCs w:val="18"/>
          <w:color w:val="auto"/>
        </w:rPr>
      </w:pPr>
    </w:p>
    <w:p>
      <w:pPr>
        <w:jc w:val="both"/>
        <w:ind w:left="660" w:right="320" w:hanging="328"/>
        <w:spacing w:after="0" w:line="317" w:lineRule="auto"/>
        <w:tabs>
          <w:tab w:leader="none" w:pos="656"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clinical indications for which the product is approved, and product labeling or product insert requirements of the FDA, EMA or other comparable foreign regulatory authorities, including any limitations or warnings contained in a product’s approved labeling;</w:t>
      </w:r>
    </w:p>
    <w:p>
      <w:pPr>
        <w:spacing w:after="0" w:line="157"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sales and marketing efforts;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any side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in relation to alternative treatments, including any similar treatments;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offer our products for sale at competitive prices;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and access to screening and/or diagnostic tests;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convenience and ease of administration compared to alternative treatments;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strength of marketing and distribution support;</w:t>
      </w:r>
    </w:p>
    <w:p>
      <w:pPr>
        <w:spacing w:after="0" w:line="251" w:lineRule="exact"/>
        <w:rPr>
          <w:rFonts w:ascii="Times New Roman" w:cs="Times New Roman" w:eastAsia="Times New Roman" w:hAnsi="Times New Roman"/>
          <w:sz w:val="18"/>
          <w:szCs w:val="18"/>
          <w:color w:val="auto"/>
        </w:rPr>
      </w:pPr>
    </w:p>
    <w:p>
      <w:pPr>
        <w:ind w:left="660" w:right="620" w:hanging="328"/>
        <w:spacing w:after="0" w:line="286" w:lineRule="auto"/>
        <w:tabs>
          <w:tab w:leader="none" w:pos="656"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third-party coverage and reimbursement for any of our products that are approved and any screening and/or diagnostic testing, as appropriate; and</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any restrictions on the use of our product together with other medications.</w:t>
      </w:r>
    </w:p>
    <w:p>
      <w:pPr>
        <w:spacing w:after="0" w:line="25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Market acceptance of our product candidates is heavily dependent on patients’ and physicians’ perceptions that our product candidates are safe and effective treatments for their targeted indications and willingness to use screening and/or diagnostic tests to identify at-risk target populations for our therapeutics. The perceptions of any product are also influenced by perceptions of competitors’ products that are in the same class or that have a similar mechanism of action. Because we expect sales of our product candidates, if approved, to generate substantially all our revenues in the foreseeable future, the failure of our product candidates to find market acceptance would harm our business and could require us to seek additional financing.</w:t>
      </w:r>
    </w:p>
    <w:p>
      <w:pPr>
        <w:spacing w:after="0" w:line="21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If approved, our product candidates that are regulated as biologics may face competition from biosimilars approved through an abbreviated regulatory pathway.</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Biologics Price Competition and Innovation Act of 2009 ("BPCIA") was enacted as part of the Affordable Care Act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develop and receive approval of a competing biologic, so long as their BLA does not rely on the reference product, sponsor’s data or submit the application as a biosimilar application. Any new policies or processes adopted by the FDA could have a material adverse effect on the future commercial prospects for our biological products.</w:t>
      </w:r>
    </w:p>
    <w:p>
      <w:pPr>
        <w:spacing w:after="0" w:line="21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 The approval of a biosimilar of our product candidates could have a material adverse impact on our business due to increased competition and pricing pressure.</w:t>
      </w:r>
    </w:p>
    <w:p>
      <w:pPr>
        <w:spacing w:after="0" w:line="21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If we continue to progress the development of our product candidates, and are unable to establish sales, marketing and distribution capabilities either on our own or in collaboration with third parties, we may not be successful in commercializing any product candidates we develop, if approved.</w:t>
      </w:r>
    </w:p>
    <w:p>
      <w:pPr>
        <w:spacing w:after="0" w:line="2"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color w:val="auto"/>
        </w:rPr>
        <w:t>In order to market and successfully commercialize any product candidates we develop, if approved, we must build our sales and marketing capabilities or enter into collaborations with third parties for these services. We currently have no sales, marketing or distribution capabilities and as a company have no experience in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marketing products. If we commercialize any of our product candidates that may be approved ourselves, we will need to develop an in-house marketing organization and sales force across rare disease therapeutic areas, which will require significant expenditures, management resources, and time. There are significant expenses and risks involved with establishing our own sales and marketing capabilities, including our ability to hire, train, retain, and appropriately incentivize a sufficient number of qualified individuals, generate sufficient sales leads and provide our sales and marketing team with adequate access to physicians who may prescribe our products, effectively manage a geographically dispersed sales and marketing team, and other unforeseen costs and expenses. We will have to compete with other pharmaceutical and biotechnology companies to recruit, hire, train, and retrain marketing and sales personnel. Any failure or delay in the development of a product candidate that affects the expected timing of commercialization of the product candidate or results in the failure of the product candidate to be commercialized could result in us having prematurely or unnecessarily incurred costly commercialization expenses. Our investment would be lost if we are unable to retain or reposition our sales and marketing personnel.</w:t>
      </w:r>
    </w:p>
    <w:p>
      <w:pPr>
        <w:spacing w:after="0" w:line="21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may also enter into collaborations for the sales and marketing of our product candidates, if approved. To the extent that we depend on collaborators for sales and marketing activities, any revenues we receive will depend upon the success of those collaborators’ sales and marketing teams and the collaborators’ prioritization of our products and compliance with applicable regulatory requirements, and there can be no assurance that the collaborators’ efforts will be successful. If we are unable to build our own sales and marketing team or enter into a collaboration for the commercialization of product candidates we develop, if approved, we may be forced to delay the commercialization of our product candidates or reduce the scope of our sales or marketing activities, which would have an adverse effect on our business, operating results and prospects.</w:t>
      </w:r>
    </w:p>
    <w:p>
      <w:pPr>
        <w:spacing w:after="0" w:line="2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Under the current presidential administration, we face uncertainty regarding potential regulatory developments that may adversely affect our business if we continue to progress the development of our product candidates.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There have been significant and wide-ranging changes in law, regulation and policy under the current Trump administration. Current and future adopted legislation, regulation, or policy could adversely affect our business or create a more challenging and costly environment to pursue the development and commercialization of our current or future product candidates. For example, the federal government, including the FDA, may implement legislative, regulatory, or policy changes regarding the standards for approving biologic products that we may be unable to satisfy or regarding the marketing of approved biologics that may limit or prohibit the advertising and promotion of our current or future product candidates, if approved. Additionally, the Trump administration has undertaken significant efforts to reduce the size and spending of the federal government, including at the FDA. A significant reduction in the FDA's workforce or the FDA's budget or other disruptions at the FDA could impact the FDA’s ability to engage in routine regulatory and oversight activities and result in delays or limitations on our ability to proceed with clinical development programs and obtain regulatory approvals. It is difficult to predict how executive actions that may be taken under the current Trump administration may affect the FDA’s ability to exercise its regulatory authority. If such executive actions impose constraints on the FDA’s ability to engage in routine oversight and product review activities in the normal course, our business may be negatively impacted.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54"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b w:val="1"/>
          <w:bCs w:val="1"/>
          <w:i w:val="1"/>
          <w:iCs w:val="1"/>
          <w:color w:val="auto"/>
        </w:rPr>
        <w:t>If we continue to progress the development of our product candidates, we may pursue business development transactions and collaborate with third parties for the development and commercialization of our product candidates. We may not succeed in identifying and acquiring businesses or assets, in-licensing or out-licensing intellectual property rights or establishing and maintaining collaborations, which may significantly limit our ability to successfully develop and commercialize our product candidates, if at all, and these transactions could disrupt our business, cause dilution to our stockholders or reduce our financial resources.</w:t>
      </w:r>
    </w:p>
    <w:p>
      <w:pPr>
        <w:spacing w:after="0" w:line="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acquired all rights to RLYB116 and RLYB114 from Sobi in 2019. We also obtained worldwide exclusive rights to RLYB332 from Sanofi in 2022. If we continue to progress the development of our product candidates, we may acquire or in-license rights to product candidates, products or technologies, acquire other businesses or enter into collaborations with third parties. We may not be able to enter into such transactions on favorable terms, or at all. Any such acquisitions, in-licenses or collaborations may not strengthen our competitive position, and these transactions may be viewed negatively by analysts, investors, customers, or other third parties with whom we have relationships. We may decide to incur debt in connection with an acquisition, or in-license or issue our common stock or other equity securities as consideration for the acquisition, which would reduce the percentage ownership of our existing stockholders.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could incur losses resulting from undiscovered liabilities of the acquired business that are not covered by the indemnification we may obtain from the sellers of the acquired business. In addition, we may not be able to successfully integrate the acquired personnel, technologies, and operations into our existing business in an effective, timely, and non-disruptive manner. Such transactions may also divert management attention from day-to-day responsibilities, increase our expenses, and reduce our cash available for operations and other uses. We cannot predict the number, timing or size of future acquisitions or in-licenses or the effect that any such transactions might have on our operating results.</w:t>
      </w:r>
    </w:p>
    <w:p>
      <w:pPr>
        <w:spacing w:after="0" w:line="20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We may not realize the anticipated benefits of any current or future collaboration, each of which involves or will involve numerous risks, including:</w:t>
      </w:r>
    </w:p>
    <w:p>
      <w:pPr>
        <w:spacing w:after="0" w:line="180" w:lineRule="exact"/>
        <w:rPr>
          <w:sz w:val="20"/>
          <w:szCs w:val="20"/>
          <w:color w:val="auto"/>
        </w:rPr>
      </w:pPr>
    </w:p>
    <w:p>
      <w:pPr>
        <w:ind w:left="660" w:right="240" w:hanging="328"/>
        <w:spacing w:after="0" w:line="286" w:lineRule="auto"/>
        <w:tabs>
          <w:tab w:leader="none" w:pos="656"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collaborator may shift its priorities and resources away from our product candidates due to a change in business strategies, or a merger, acquisition, sale, or downsizing;</w:t>
      </w:r>
    </w:p>
    <w:p>
      <w:pPr>
        <w:spacing w:after="0" w:line="180" w:lineRule="exact"/>
        <w:rPr>
          <w:rFonts w:ascii="Times New Roman" w:cs="Times New Roman" w:eastAsia="Times New Roman" w:hAnsi="Times New Roman"/>
          <w:sz w:val="18"/>
          <w:szCs w:val="18"/>
          <w:color w:val="auto"/>
        </w:rPr>
      </w:pPr>
    </w:p>
    <w:p>
      <w:pPr>
        <w:ind w:left="660" w:right="540" w:hanging="328"/>
        <w:spacing w:after="0" w:line="286" w:lineRule="auto"/>
        <w:tabs>
          <w:tab w:leader="none" w:pos="656"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collaborator may seek to renegotiate or terminate its relationship with us due to unsatisfactory clinical results, manufacturing issues, a change in business strategy, a change of control or other reasons;</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collaborator may cease development in therapeutic areas that are the subject of our collaboration;</w:t>
      </w:r>
    </w:p>
    <w:p>
      <w:pPr>
        <w:spacing w:after="0" w:line="251" w:lineRule="exact"/>
        <w:rPr>
          <w:rFonts w:ascii="Times New Roman" w:cs="Times New Roman" w:eastAsia="Times New Roman" w:hAnsi="Times New Roman"/>
          <w:sz w:val="18"/>
          <w:szCs w:val="18"/>
          <w:color w:val="auto"/>
        </w:rPr>
      </w:pPr>
    </w:p>
    <w:p>
      <w:pPr>
        <w:ind w:left="660" w:right="260" w:hanging="328"/>
        <w:spacing w:after="0" w:line="286" w:lineRule="auto"/>
        <w:tabs>
          <w:tab w:leader="none" w:pos="656"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collaborator may not devote sufficient capital or resources towards our product candidates, or may fail to comply with applicable regulatory requirements;</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collaborator may change the success criteria for a product candidate, thereby delaying or ceasing development of such candidate;</w:t>
      </w:r>
    </w:p>
    <w:p>
      <w:pPr>
        <w:spacing w:after="0" w:line="251" w:lineRule="exact"/>
        <w:rPr>
          <w:rFonts w:ascii="Times New Roman" w:cs="Times New Roman" w:eastAsia="Times New Roman" w:hAnsi="Times New Roman"/>
          <w:sz w:val="18"/>
          <w:szCs w:val="18"/>
          <w:color w:val="auto"/>
        </w:rPr>
      </w:pPr>
    </w:p>
    <w:p>
      <w:pPr>
        <w:ind w:left="660" w:right="240" w:hanging="328"/>
        <w:spacing w:after="0" w:line="286" w:lineRule="auto"/>
        <w:tabs>
          <w:tab w:leader="none" w:pos="656"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significant delay in initiation of certain development activities by a collaborator will also delay payment of milestones tied to such activities, thereby impacting our ability to fund our own activities;</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collaborator could develop a product that competes, either directly or indirectly, with our product candidates;</w:t>
      </w:r>
    </w:p>
    <w:p>
      <w:pPr>
        <w:spacing w:after="0" w:line="251" w:lineRule="exact"/>
        <w:rPr>
          <w:rFonts w:ascii="Times New Roman" w:cs="Times New Roman" w:eastAsia="Times New Roman" w:hAnsi="Times New Roman"/>
          <w:sz w:val="18"/>
          <w:szCs w:val="18"/>
          <w:color w:val="auto"/>
        </w:rPr>
      </w:pPr>
    </w:p>
    <w:p>
      <w:pPr>
        <w:ind w:left="660" w:right="620" w:hanging="328"/>
        <w:spacing w:after="0" w:line="286" w:lineRule="auto"/>
        <w:tabs>
          <w:tab w:leader="none" w:pos="656"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collaborator with commercialization obligations may not commit sufficient financial resources or personnel to the marketing, distribution, or sale of a product;</w:t>
      </w:r>
    </w:p>
    <w:p>
      <w:pPr>
        <w:spacing w:after="0" w:line="180" w:lineRule="exact"/>
        <w:rPr>
          <w:rFonts w:ascii="Times New Roman" w:cs="Times New Roman" w:eastAsia="Times New Roman" w:hAnsi="Times New Roman"/>
          <w:sz w:val="18"/>
          <w:szCs w:val="18"/>
          <w:color w:val="auto"/>
        </w:rPr>
      </w:pPr>
    </w:p>
    <w:p>
      <w:pPr>
        <w:ind w:left="660" w:right="560" w:hanging="328"/>
        <w:spacing w:after="0" w:line="286" w:lineRule="auto"/>
        <w:tabs>
          <w:tab w:leader="none" w:pos="656"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collaborator with manufacturing responsibilities may encounter regulatory, resource, or quality issues and be unable to meet demand requirements;</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collaborator may terminate a strategic alliance;</w:t>
      </w:r>
    </w:p>
    <w:p>
      <w:pPr>
        <w:spacing w:after="0" w:line="251" w:lineRule="exact"/>
        <w:rPr>
          <w:rFonts w:ascii="Times New Roman" w:cs="Times New Roman" w:eastAsia="Times New Roman" w:hAnsi="Times New Roman"/>
          <w:sz w:val="18"/>
          <w:szCs w:val="18"/>
          <w:color w:val="auto"/>
        </w:rPr>
      </w:pPr>
    </w:p>
    <w:p>
      <w:pPr>
        <w:ind w:left="660" w:right="400" w:hanging="328"/>
        <w:spacing w:after="0" w:line="268" w:lineRule="auto"/>
        <w:tabs>
          <w:tab w:leader="none" w:pos="656"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dispute may arise between us and a collaborator concerning the research, development, or commercialization of a product candidate resulting in a delay in milestones or royalty payments or termination of the relationship and possibly resulting in costly litigation or arbitration, which may divert management’s attention and resources; and</w:t>
      </w:r>
    </w:p>
    <w:p>
      <w:pPr>
        <w:spacing w:after="0" w:line="1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collaborator may use our products or technology in such a way as to invite litigation from a third-party.</w:t>
      </w:r>
    </w:p>
    <w:p>
      <w:pPr>
        <w:spacing w:after="0" w:line="25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any collaborator fails to fulfill its responsibilities in a timely manner, or at all, our research, clinical development, manufacturing, or commercialization efforts related to that collaboration could be delayed or terminated, or it may be necessary for us to assume responsibility for expenses or activities that would otherwise have been the responsibility of our collaborator. If we are unable to establish and maintain collaborations on acceptable terms or to successfully transition away from terminated collaborations, we may have to delay or discontinue further development of one or more of our product candidates, undertake development and commercialization activities at our own expense, or find alternative sources of capital, which would have a material adverse impact on our clinical development plans and business. If we fail to establish and maintain collaborations related to our product candidates, we could bear all of the risk and costs related to the development of any such product candidate, and we may need to seek additional financing, hire additional</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120"/>
        <w:spacing w:after="0" w:line="287" w:lineRule="auto"/>
        <w:rPr>
          <w:sz w:val="20"/>
          <w:szCs w:val="20"/>
          <w:color w:val="auto"/>
        </w:rPr>
      </w:pPr>
      <w:r>
        <w:rPr>
          <w:rFonts w:ascii="Arial" w:cs="Arial" w:eastAsia="Arial" w:hAnsi="Arial"/>
          <w:sz w:val="18"/>
          <w:szCs w:val="18"/>
          <w:color w:val="auto"/>
        </w:rPr>
        <w:t>employees and otherwise develop expertise for which we have not budgeted. This could negatively affect the development and commercialization of our product candidates.</w:t>
      </w:r>
    </w:p>
    <w:p>
      <w:pPr>
        <w:spacing w:after="0" w:line="1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may face significant competition in identifying and acquiring businesses or assets, in-licensing intellectual property rights and seeking appropriate collaboration partners for our product candidates, and the negotiation process may be time-consuming and complex. In order for us to successfully partner our product candidates, potential collaborators must view these product candidates as economically valuable in markets they determine to be attractive in light of the terms that we are seeking and other products or product candidates available for licensing from or in connection with collaborations with other companies. Our success in acquiring business or assets or in partnering with collaborators may depend on our history or perceived capability of successful product development. Even if we are successful in our efforts to acquire businesses or assets, in-license intellectual property rights or establish collaborations, we may not be successful in developing such product candidates or technologies or able to maintain such collaborations if, for example, development or approval of a product candidate is delayed or sales of an approved product are disappointing.</w:t>
      </w:r>
    </w:p>
    <w:p>
      <w:pPr>
        <w:spacing w:after="0" w:line="210"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b w:val="1"/>
          <w:bCs w:val="1"/>
          <w:i w:val="1"/>
          <w:iCs w:val="1"/>
          <w:color w:val="auto"/>
        </w:rPr>
        <w:t>Our reliance on a central team consisting of a limited number of employees and third parties who provide various administrative, research and development, and other services across our organization presents operational challenges that may adversely affect our business.</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of September 30, 2026, we had 6 full-time employees, upon whom we rely for various administrative, research and development, business development and other support services shared among our subsidiaries. The size of our centralized team may limit our ability to devote adequate personnel, time, and resources to support the operations of all of our subsidiaries, including their research and development activities, the management of financial, accounting, and reporting matters, and the oversight of our third-party vendors and partners. If our centralized team or our third-party vendors and partners performing such functions fail to provide adequate administrative, research and development, or other services across our entire organization, our business, financial condition, and results of operations could be harmed.</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 which could have a material adverse effect on our business.</w:t>
      </w:r>
    </w:p>
    <w:p>
      <w:pPr>
        <w:spacing w:after="0" w:line="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Misconduct by our employees and independent contractors, including principal investigators, CROs, consultants, vendors and any third parties we may engage in connection with research, development, regulatory, manufacturing, quality assurance and other pharmaceutical functions and commercialization, could include intentional, reckless or negligent conduct or unauthorized activities that violate various laws, including: (i) the laws and regulations of the FDA, and other similar regulatory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such as the improper use or misrepresentation of information obtained in the course of clinical trials, creation of fraudulent data in preclinical studies or clinical trials, or illegal misappropriation of drug product, could also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agency could allege such fraud or other misconduct, even if none occurred. If any such actions are instituted against us or them and we are not successful in defending ourselves or asserting our rights, those actions could have a significant impact on our business and results of operations, including the imposition of significant civil, criminal, and administrative penalties, damages, monetary fines,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our operations.</w:t>
      </w:r>
    </w:p>
    <w:p>
      <w:pPr>
        <w:spacing w:after="0" w:line="218"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We currently rely and will rely on third parties for the manufacture of drug substance and drug product for our preclinical studies and clinical trials and, if we continue to progress the development of our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product candidates, expect to continue to do so for commercialization of any product candidates that we may develop that are approved for marketing. Our reliance on third parties may increase the risk that we will not have sufficient quantities of such drug substance, product candidates, or any products that we may develop and commercialize, or that such supply will not be available to us at an acceptable cost, which could delay, prevent, or impair our development or commercialization efforts.</w:t>
      </w:r>
    </w:p>
    <w:p>
      <w:pPr>
        <w:ind w:right="240"/>
        <w:spacing w:after="0" w:line="255" w:lineRule="auto"/>
        <w:rPr>
          <w:sz w:val="20"/>
          <w:szCs w:val="20"/>
          <w:color w:val="auto"/>
        </w:rPr>
      </w:pPr>
      <w:r>
        <w:rPr>
          <w:rFonts w:ascii="Arial" w:cs="Arial" w:eastAsia="Arial" w:hAnsi="Arial"/>
          <w:sz w:val="18"/>
          <w:szCs w:val="18"/>
          <w:color w:val="auto"/>
        </w:rPr>
        <w:t>We have limited personnel with experience in manufacturing, and we do not own facilities for manufacturing RLYB116 or any other product candidate. Instead, we rely on and expect to continue to rely on contract manufacturers for the supply of cGMP-drug substance and drug product of RLYB116 and any other product candidates we develop and, in the future, for commercial supply. Reliance on third parties may expose us to more risk than if we were to manufacture our product candidates ourselves.</w:t>
      </w:r>
    </w:p>
    <w:p>
      <w:pPr>
        <w:spacing w:after="0" w:line="20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may be unable to establish necessary supply agreements with third-party manufacturers or to do so on acceptable terms. Even if we are able to establish agreements with third-party manufacturers, reliance on third-party manufacturers entails additional risks, including:</w:t>
      </w:r>
    </w:p>
    <w:p>
      <w:pPr>
        <w:spacing w:after="0" w:line="180"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possible breach of the manufacturing agreement by the third-party;</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possible termination or nonrenewal of the agreement by the third-party at a time that is costly or inconvenient for us;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reliance on the third-party for regulatory compliance, quality assurance, safety, and pharmacovigilance and related reporting; and</w:t>
      </w:r>
    </w:p>
    <w:p>
      <w:pPr>
        <w:spacing w:after="0" w:line="251" w:lineRule="exact"/>
        <w:rPr>
          <w:rFonts w:ascii="Times New Roman" w:cs="Times New Roman" w:eastAsia="Times New Roman" w:hAnsi="Times New Roman"/>
          <w:sz w:val="18"/>
          <w:szCs w:val="18"/>
          <w:color w:val="auto"/>
        </w:rPr>
      </w:pPr>
    </w:p>
    <w:p>
      <w:pPr>
        <w:ind w:left="660" w:right="140" w:hanging="328"/>
        <w:spacing w:after="0" w:line="286" w:lineRule="auto"/>
        <w:tabs>
          <w:tab w:leader="none" w:pos="656"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possible inability of third-party suppliers to supply and/or transport materials, components and products to us in a timely manner as a result of disruptions to the global supply chain.</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Third-party manufacturers may fail to comply with cGMP regulations or similar regulatory requirements outside the United States.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of or suspension of a clinical trial, or the delay or prevention of a filing or approval of marketing applications for our product candidates. Moreover, our failure, or the failure of our third-party manufacturers, to comply with applicable regulations could result in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we provide oversight of manufacturing activities, we have limited ability to control the execution of manufacturing activities by, and are or will be dependent on, our CMOs for compliance with cGMP requirements for the manufacture of our product candidates by our CMOs. As a result, we are subject to the risk that our product candidates may have manufacturing defects or fail to comply with regulatory requirements, which we have limited ability to prevent. CMOs may also have competing obligations that prevent them from manufacturing our product candidates in a timely manner. If a CMO cannot successfully manufacture drug substance that conforms to our specifications and the regulatory requirements, we will not be able to secure or maintain regulatory approval for the use of our product candidates in clinical trials, or for commercial distribution of our product candidates, if approved. In addition, we have limited control over the ability of our CMOs to maintain adequate quality control, quality assurance, and qualified personnel, and we were not involved in developing our CMOs’ policies and procedures.</w:t>
      </w:r>
    </w:p>
    <w:p>
      <w:pPr>
        <w:spacing w:after="0" w:line="2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facilities and processes used to manufacture our product candidates are subject to inspection by the FDA, EMA and other comparable foreign authorities. If the FDA, EMA or other comparable foreign regulatory authority finds deficiencies with or does not approve these facilities for the manufacture of our product candidates or if it withdraws any such approval or finds deficiencies in the future, we may need to find alternative manufacturing facilities or conduct additional studies, which would delay our development program and significantly impact our ability to develop, obtain regulatory approval for, or commercialize our product candidates, if approved.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Furthermore, CMOs may breach existing agreements they have with us because of factors beyond our control. They may also terminate or refuse to renew their agreement at a time that is costly or otherwise inconvenient for us. Finding new CMOs or third-party suppliers involves additional cost and requires our management’s time and focus. In addition, there is typically a transition period when a new CMO commences work.</w:t>
      </w:r>
    </w:p>
    <w:p>
      <w:pPr>
        <w:spacing w:after="0" w:line="20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Any significant delay in the supply of our product candidates or the raw materials needed to produce our product candidates, could considerably delay conducting our clinical trials and potential regulatory approval of our product candidates. If we were unable to find an adequate CMO or another acceptable solution in time, our clinical trials could be delayed, or our commercial activities could be harmed.</w:t>
      </w:r>
    </w:p>
    <w:p>
      <w:pPr>
        <w:spacing w:after="0" w:line="19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rely on and will continue to rely on CMOs to purchase from third-party suppliers the raw materials necessary to produce our product candidates. We have limited ability to control the process or timing of the acquisition of these raw materials by our CMOs. Moreover, we currently do not have any agreements for the production of these raw materials. Supplies of raw materials could be interrupted from time to time and we cannot be certain that alternative supplies could be obtained within a reasonable time frame, at an acceptable cost, or at all. In addition, a disruption in the supply of raw materials could delay the commercial launch of our product candidates, if approved, or result in a shortage in supply, which would impair our ability to generate revenues from the sale of our product candidates. Growth in the costs and expenses of raw materials may also impair our ability to cost effectively manufacture our product candidates. There are a limited number of suppliers for the raw materials that we may use to manufacture our product candidates and we may need to assess alternative suppliers to prevent a possible disruption of the manufacture of our product candidates. Moreover, our product candidates utilize drug substances that are produced on a small scale, which could limit our ability to reach agreements with alternative suppliers.</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part of their manufacture of our product candidates, our CMOs and third-party suppliers are expected to comply with and respect the intellectual property and proprietary rights of others. If a CMO or third-party supplier fails to acquire the proper licenses or otherwise infringes, misappropriates or otherwise violates the intellectual property or the proprietary rights of others in the course of providing services to us, we may have to find alternative CMOs or third-party suppliers or defend against claims of infringement, either of which would significantly impact our ability to develop, obtain regulatory approval for, or commercialize our product candidates, if approved.</w:t>
      </w:r>
    </w:p>
    <w:p>
      <w:pPr>
        <w:spacing w:after="0" w:line="206"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Our collaborators also may breach their agreements with us or otherwise fail to perform to our satisfaction, which could impact the development timeline of our product candidates.</w:t>
      </w:r>
    </w:p>
    <w:p>
      <w:pPr>
        <w:spacing w:after="0" w:line="18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If we continue to progress the development of our product candidates, we will continue to rely on third parties to conduct, supervise, and monitor our preclinical studies and clinical trials. If we fail to effectively oversee and manage these third parties, if they do not successfully carry out their contractual duties, or if they perform in an unsatisfactory manner, it may harm our business.</w:t>
      </w:r>
    </w:p>
    <w:p>
      <w:pPr>
        <w:jc w:val="both"/>
        <w:ind w:right="260"/>
        <w:spacing w:after="0" w:line="280" w:lineRule="auto"/>
        <w:rPr>
          <w:sz w:val="20"/>
          <w:szCs w:val="20"/>
          <w:color w:val="auto"/>
        </w:rPr>
      </w:pPr>
      <w:r>
        <w:rPr>
          <w:rFonts w:ascii="Arial" w:cs="Arial" w:eastAsia="Arial" w:hAnsi="Arial"/>
          <w:sz w:val="17"/>
          <w:szCs w:val="17"/>
          <w:color w:val="auto"/>
        </w:rPr>
        <w:t>We rely, and will continue to rely, on CROs, CRO-contracted vendors, and clinical trial sites to ensure the proper and timely conduct of our clinical trials. Our reliance on CROs for clinical development activities limits our control over these activities, but we remain responsible for ensuring that each of our trials is conducted in accordance with the applicable protocol and legal, regulatory, and scientific standards.</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and our CROs will be required to comply with the GLP requirements for our preclinical studies and GCP requirements for our clinical trials. Regulatory authorities enforce GCP requirements through periodic inspections of trial sponsors, principal investigators, and clinical trial sites. If we, or our CROs, fail to comply with GCP requirements, the clinical data generated in our clinical trials may be deemed unreliable and the FDA, EMA or other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and may require a large number of patients. Our failure or any failure by our CROs, investigators, CMOs or other third parties to comply with regulatory requirements or to recruit enough patients may delay ongoing or planned clinical trials or require us to repeat clinical trials, which would delay the regulatory approval process. Failure by us or by third parties we engage to comply with regulatory requirements can also result in fines, adverse publicity, and civil and criminal sanctions. Moreover, our business may be implicated if any of these third parties violates federal or state fraud and abuse or false claims laws and regulations or healthcare privacy and security laws.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CROs, vendors and clinical trial investigators are not our employees, and we do not control whether they devote sufficient time and resources to our clinical trials. These third parties may also have relationships with other commercial entities, including our competitors, for whom they may also be conducting clinical trials, or other drug development activities, which could harm our competitive position. We face the risk of potential unauthorized disclosure or misappropriation of our intellectual property by CROs and other third parties involved in our preclinical studies and clinical trials, which may reduce our trade secret protection and allow our potential competitors to access and exploit our proprietary technology. If our CROs and other third parties involved in our trials do not successfully carry out their contractual duties or obligations, or fail to meet expected deadlines, or if the quality or accuracy of the clinical data they obtain is compromised due to the failure to adhere to our clinical protocols or regulatory requirements or for any other reason, our clinical trials may be extended, delayed or terminated, and we may not be able to obtain regulatory approval for, or successfully commercialize, any product candidates that we develop. As a result, our financial results and the commercial prospects for any product candidates that we develop would be harmed, our costs could increase, and our ability to generate revenue could be delayed.</w:t>
      </w:r>
    </w:p>
    <w:p>
      <w:pPr>
        <w:spacing w:after="0" w:line="20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our relationship with any CRO terminates, we may not be able to enter into arrangements with alternative CROs or do so on commercially reasonable terms. Switching or adding additional CROs involves substantial cost and requires management’s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an adverse impact on our business, financial condition, and prospects.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Healthcare Laws and Other Legal Compliance Matters</w:t>
      </w:r>
    </w:p>
    <w:p>
      <w:pPr>
        <w:spacing w:after="0" w:line="25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If we continue to progress the development of our product candidates, enacted and future healthcare legislation may increase the difficulty and cost for us to obtain marketing approval of and commercialize our product candidates, if approved, and may affect the prices we may set.</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United States and other jurisdictions, there have been, and we expect there will continue to be, a number of legislative and regulatory changes, and additional proposed changes, to the healthcare system that could affect our future results of operations. In particular, there have been and continue to be a number of initiatives at the U.S. federal and state levels that seek to reduce healthcare costs and improve the quality of health care. As an earlier example with longstanding impact, in March 2010, the ACA was enacted, which substantially changed the way healthcare is financed by both governmental and private insurers. The ACA expanded health care coverage through a Medicaid eligibility expansion and the implementation of the individual mandate for health insurance coverage. The ACA also imposed an annual fee payable on manufacturers of branded prescription drugs and biologic agents (other than those designated as orphan drugs) and implemented changes to the coverage and reimbursement of drug products under government healthcare programs, including an expansion in the Medicaid drug rebate program, an increase in the statutory minimum rebates a manufacturer must pay under the Medicaid drug rebate program, and the establishment of a new Medicare Part D coverage gap discount program.</w:t>
      </w:r>
    </w:p>
    <w:p>
      <w:pPr>
        <w:spacing w:after="0" w:line="21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Beyond the ACA, there have been ongoing healthcare reform efforts, including efforts focused on drug pricing and payment. For example, the Inflation Reduction Act (“IRA”) of 2022 includes a number of changes intended to address rising prescription drug prices in Medicare Parts B and D. These changes include caps on Medicare Part D out-of-pocket costs, Medicare Part B and Part D drug price inflation rebates, a new Medicare Part D manufacturer discount drug program (replacing the ACA Medicare Part D coverage gap discount program) and a drug price negotiation program for certain high spend Medicare Part B and D drugs (with negotiated prices for the first set of drugs taking effect in 2026). The IRA has had and will likely continue to have a significant impact on the pharmaceutical industry. Additionally, changes to Medicaid effective in 2024 eliminated the Medicaid rebate cap, and changes to certain Medicare price reporting requirements for drugs beginning in 2026 will likely increase the administrative and compliance burden for manufacturers.</w:t>
      </w:r>
    </w:p>
    <w:p>
      <w:pPr>
        <w:spacing w:after="0" w:line="21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Recently, drug pricing and payment has been subject to a number of reform initiatives. For example, President Trump issued an Executive Order in April 2025 with multiple directives aimed at lowering drug prices, including refining the Medicare drug price negotiation program established by the IRA; accelerating competition for high-cost prescription drugs by accelerating approval of generics and biosimilars and facilitating the process for re-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classifying prescription drugs as over-the-counter drugs; and increasing drug importation. In May 2025, President Trump issued another Executive Order that directed government agencies and officials to identify most-favored nation pricing targets for prescription drugs (and looked to pharmaceutical manufacturers to make significant progress towards delivering target prices to patients); prevent foreign countries from disproportionately shifting the cost of global pharmaceutical research and development to the United States; and facilitate direct-to-consumer purchasing programs for pharmaceutical manufacturers to sell their products to patients at the most-favored-nation price. In the wake of the Executive Orders and related executive initiatives, a number of pharmaceutical manufacturers have announced direct-to-consumer offerings with discounted prices and/or reached agreement with the federal government regarding pricing for drugs, including prices for Medicaid drugs and newly launched products. A website sponsored by the federal government that is anticipated to offer pharmaceutical direct-to-consumer channels in the future has also been launched. Federal agencies are developing new drug pricing pilot programs, such as a voluntary Medicaid initiative which would authorize the federal government to negotiate Medicaid supplemental rebates with participating manufacturers on behalf of state Medicaid programs, in exchange for standardized coverage criteria for participating manufacturer drugs, and proposed Medicare Part B and D pilot models that, if finalized as proposed, would replace existing inflation-based Medicare rebates with rebates determined on the basis of international prices, for drugs and patients subject to the model. Many of these reform initiatives would require additional legal and/or administrative action to implement and may be subject to legal challenge.</w:t>
      </w:r>
    </w:p>
    <w:p>
      <w:pPr>
        <w:spacing w:after="0" w:line="21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Other federal healthcare reform efforts or actions may affect access to healthcare coverage or the funding of health care benefits, although the full impact of such efforts or actions cannot be predicted. For example, the Congressional Budget Office has estimated that Medicaid provisions in the 2025 budget reconciliation legislation, including restrictions in eligibility and funding for Medicaid, as well as changes to the healthcare marketplace such as the elimination of certain subsidies, will increase the number of uninsured.</w:t>
      </w: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measures designed to encourage importation from other countries and bulk purchasing.</w:t>
      </w:r>
    </w:p>
    <w:p>
      <w:pPr>
        <w:spacing w:after="0" w:line="20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Healthcare reform efforts have been and may continue to be subject to scrutiny, legal challenge and subsequent amendment, creating further uncertainty.</w:t>
      </w:r>
    </w:p>
    <w:p>
      <w:pPr>
        <w:spacing w:after="0" w:line="18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Other recent government actions may also affect prices or payments for prescription drugs. For example, the Trump Administration’s recently announced tariff on branded or patented drugs may increase the cost of drug products that are imported from abroad or manufactured using products or materials imported from abroad. The timeline for implementation of this tariff has not yet been finalized. As another example, the Budget Control Act, as amended, resulted in the imposition of reductions in Medicare (but not Medicaid) payments to providers in 2013 and will remain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210"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Healthcare or other reform initiatives could affect demand for, or pricing of, any future products if approved for sale. We cannot, however, predict the ultimate content, timing or effect of any federal and state reform efforts. There is no assurance that federal or state health care reform will not adversely affect our future business and financial results.</w:t>
      </w:r>
    </w:p>
    <w:p>
      <w:pPr>
        <w:spacing w:after="0" w:line="19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markets outside of the United States, reimbursement and healthcare payment systems vary significantly by country, and many countries have instituted price ceilings on specific products and therapies. We cannot predict the likelihood, nature, or extent of government regulation that may arise from future legislation or administrative action in the United States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500"/>
        <w:spacing w:after="0" w:line="271" w:lineRule="auto"/>
        <w:rPr>
          <w:sz w:val="20"/>
          <w:szCs w:val="20"/>
          <w:color w:val="auto"/>
        </w:rPr>
      </w:pPr>
      <w:r>
        <w:rPr>
          <w:rFonts w:ascii="Arial" w:cs="Arial" w:eastAsia="Arial" w:hAnsi="Arial"/>
          <w:sz w:val="17"/>
          <w:szCs w:val="17"/>
          <w:b w:val="1"/>
          <w:bCs w:val="1"/>
          <w:i w:val="1"/>
          <w:iCs w:val="1"/>
          <w:color w:val="auto"/>
        </w:rPr>
        <w:t>If we continue to progress the development of our product candidates, our business operations and current and future relationships with contractors, investigators, healthcare professionals, consultants, third-party payors, patient organizations, customers, and others will be subject to applicable healthcare regulatory laws, which could expose us to penalties.</w:t>
      </w:r>
    </w:p>
    <w:p>
      <w:pPr>
        <w:spacing w:after="0" w:line="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business operations and current and future arrangements with contractors,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some of which may apply only after our products are approved for marketing, include:</w:t>
      </w:r>
    </w:p>
    <w:p>
      <w:pPr>
        <w:spacing w:after="0" w:line="210" w:lineRule="exact"/>
        <w:rPr>
          <w:sz w:val="20"/>
          <w:szCs w:val="20"/>
          <w:color w:val="auto"/>
        </w:rPr>
      </w:pPr>
    </w:p>
    <w:p>
      <w:pPr>
        <w:ind w:left="660" w:right="60" w:hanging="328"/>
        <w:spacing w:after="0" w:line="268" w:lineRule="auto"/>
        <w:tabs>
          <w:tab w:leader="none" w:pos="656"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U.S. 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196" w:lineRule="exact"/>
        <w:rPr>
          <w:rFonts w:ascii="Times New Roman" w:cs="Times New Roman" w:eastAsia="Times New Roman" w:hAnsi="Times New Roman"/>
          <w:sz w:val="18"/>
          <w:szCs w:val="18"/>
          <w:color w:val="auto"/>
        </w:rPr>
      </w:pPr>
    </w:p>
    <w:p>
      <w:pPr>
        <w:jc w:val="both"/>
        <w:ind w:left="660" w:right="60" w:hanging="328"/>
        <w:spacing w:after="0" w:line="268" w:lineRule="auto"/>
        <w:tabs>
          <w:tab w:leader="none" w:pos="656"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U.S. federal healthcare program anti-kickback law, which prohibits, among other things, persons from offering, soliciting, receiving or providing remuneration, directly or indirectly, to induce either the referral of an individual for, or the purchasing or ordering of, a good or service for which payment may be made under federal healthcare programs such as Medicare and Medicaid;</w:t>
      </w:r>
    </w:p>
    <w:p>
      <w:pPr>
        <w:spacing w:after="0" w:line="196" w:lineRule="exact"/>
        <w:rPr>
          <w:rFonts w:ascii="Times New Roman" w:cs="Times New Roman" w:eastAsia="Times New Roman" w:hAnsi="Times New Roman"/>
          <w:sz w:val="18"/>
          <w:szCs w:val="18"/>
          <w:color w:val="auto"/>
        </w:rPr>
      </w:pPr>
    </w:p>
    <w:p>
      <w:pPr>
        <w:jc w:val="both"/>
        <w:ind w:left="660" w:right="400" w:hanging="328"/>
        <w:spacing w:after="0" w:line="268" w:lineRule="auto"/>
        <w:tabs>
          <w:tab w:leader="none" w:pos="656"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U.S.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w:t>
      </w:r>
    </w:p>
    <w:p>
      <w:pPr>
        <w:spacing w:after="0" w:line="196" w:lineRule="exact"/>
        <w:rPr>
          <w:rFonts w:ascii="Times New Roman" w:cs="Times New Roman" w:eastAsia="Times New Roman" w:hAnsi="Times New Roman"/>
          <w:sz w:val="18"/>
          <w:szCs w:val="18"/>
          <w:color w:val="auto"/>
        </w:rPr>
      </w:pPr>
    </w:p>
    <w:p>
      <w:pPr>
        <w:ind w:left="660" w:right="60" w:hanging="328"/>
        <w:spacing w:after="0" w:line="286" w:lineRule="auto"/>
        <w:tabs>
          <w:tab w:leader="none" w:pos="656"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U.S. FDCA, which among other things, strictly regulates drug marketing, prohibits manufacturers from marketing such products prior to approval or for off-label use and regulates the distribution of samples;</w:t>
      </w:r>
    </w:p>
    <w:p>
      <w:pPr>
        <w:spacing w:after="0" w:line="180" w:lineRule="exact"/>
        <w:rPr>
          <w:rFonts w:ascii="Times New Roman" w:cs="Times New Roman" w:eastAsia="Times New Roman" w:hAnsi="Times New Roman"/>
          <w:sz w:val="18"/>
          <w:szCs w:val="18"/>
          <w:color w:val="auto"/>
        </w:rPr>
      </w:pPr>
    </w:p>
    <w:p>
      <w:pPr>
        <w:ind w:left="660" w:right="380" w:hanging="328"/>
        <w:spacing w:after="0" w:line="268" w:lineRule="auto"/>
        <w:tabs>
          <w:tab w:leader="none" w:pos="656"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U.S. federal laws that require pharmaceutical manufacturers to calculate, report and certify certain complex product prices to the government or provide certain discounts or rebates to government authorities or private entities, often as a condition of reimbursement under government healthcare programs;</w:t>
      </w:r>
    </w:p>
    <w:p>
      <w:pPr>
        <w:spacing w:after="0" w:line="196" w:lineRule="exact"/>
        <w:rPr>
          <w:rFonts w:ascii="Times New Roman" w:cs="Times New Roman" w:eastAsia="Times New Roman" w:hAnsi="Times New Roman"/>
          <w:sz w:val="18"/>
          <w:szCs w:val="18"/>
          <w:color w:val="auto"/>
        </w:rPr>
      </w:pPr>
    </w:p>
    <w:p>
      <w:pPr>
        <w:ind w:left="660" w:right="60" w:hanging="328"/>
        <w:spacing w:after="0" w:line="268" w:lineRule="auto"/>
        <w:tabs>
          <w:tab w:leader="none" w:pos="656"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U.S. federal Open Payments (or federal “sunshine” law), which requires pharmaceutical and medical device companies to monitor and report certain financial interactions with certain healthcare providers to CMS for re-disclosure to the public, as well as ownership and investment interests held by physicians and their immediate family members;</w:t>
      </w:r>
    </w:p>
    <w:p>
      <w:pPr>
        <w:spacing w:after="0" w:line="196" w:lineRule="exact"/>
        <w:rPr>
          <w:rFonts w:ascii="Times New Roman" w:cs="Times New Roman" w:eastAsia="Times New Roman" w:hAnsi="Times New Roman"/>
          <w:sz w:val="18"/>
          <w:szCs w:val="18"/>
          <w:color w:val="auto"/>
        </w:rPr>
      </w:pPr>
    </w:p>
    <w:p>
      <w:pPr>
        <w:ind w:left="660" w:right="600" w:hanging="328"/>
        <w:spacing w:after="0" w:line="286" w:lineRule="auto"/>
        <w:tabs>
          <w:tab w:leader="none" w:pos="656"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U.S. federal consumer protection and unfair competition laws, which broadly regulate marketplace activities and activities that potentially harm consumers;</w:t>
      </w:r>
    </w:p>
    <w:p>
      <w:pPr>
        <w:spacing w:after="0" w:line="180" w:lineRule="exact"/>
        <w:rPr>
          <w:rFonts w:ascii="Times New Roman" w:cs="Times New Roman" w:eastAsia="Times New Roman" w:hAnsi="Times New Roman"/>
          <w:sz w:val="18"/>
          <w:szCs w:val="18"/>
          <w:color w:val="auto"/>
        </w:rPr>
      </w:pPr>
    </w:p>
    <w:p>
      <w:pPr>
        <w:ind w:left="660" w:right="100" w:hanging="328"/>
        <w:spacing w:after="0" w:line="256" w:lineRule="auto"/>
        <w:tabs>
          <w:tab w:leader="none" w:pos="656"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analogous U.S. state laws and regulations, including: state anti-kickback and false claims laws; state laws requiring pharmaceutical companies to comply with specific compliance standards, restrict financial interactions between pharmaceutical companies and healthcare providers or report information related to payments to health care providers, marketing expenditures or drug prices; state and local laws requiring the registration of pharmaceutical sales representatives; state laws regulating the manufacture and distribution of biopharmaceutical products; and state laws governing privacy, security, and breaches of health information in certain circumstances, many of which differ from each other in significant ways and often are not preempted by HIPAA, thus complicating compliance efforts;</w:t>
      </w:r>
    </w:p>
    <w:p>
      <w:pPr>
        <w:spacing w:after="0" w:line="208" w:lineRule="exact"/>
        <w:rPr>
          <w:rFonts w:ascii="Times New Roman" w:cs="Times New Roman" w:eastAsia="Times New Roman" w:hAnsi="Times New Roman"/>
          <w:sz w:val="18"/>
          <w:szCs w:val="18"/>
          <w:color w:val="auto"/>
        </w:rPr>
      </w:pPr>
    </w:p>
    <w:p>
      <w:pPr>
        <w:ind w:left="660" w:hanging="328"/>
        <w:spacing w:after="0" w:line="259" w:lineRule="auto"/>
        <w:tabs>
          <w:tab w:leader="none" w:pos="656"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U.S. laws and regulations prohibiting bribery and corruption, such as the U.S. Foreign Corrupt Practices Act of 1977, as amended ("FCPA"), which, among other things, prohibits U.S. companies and their employees and agents from authorizing, promising, offering, or providing, directly or indirectly, corrupt or improper payments or anything else of value to foreign government officials, employees of public international organizations or foreign government-owned or affiliated entities, candidates for foreign public office, and foreign political parties or officials thereof; and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line="256" w:lineRule="auto"/>
        <w:tabs>
          <w:tab w:leader="none" w:pos="656"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similar healthcare laws and regulations in the EU and other jurisdictions, including reporting requirements detailing interactions with and payments to healthcare providers and laws governing the privacy and security of personal information, such as, where applicable, the General Data Protection Regulation ("GDPR") which imposes obligations and restrictions on the collection, use, and disclosure of personal data relating to individuals located in the EU and the EU/European Economic Area ("EEA") (including health data). See “—Our business operations may subject us to data protection laws, including the GDPR, the United Kingdom ("UK") GDPR, the California Consumer Privacy Act, as amended by the California Privacy Rights Act (collectively, "CCPA") and other similar laws."</w:t>
      </w:r>
    </w:p>
    <w:p>
      <w:pPr>
        <w:spacing w:after="0" w:line="2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and other laws and regulations will involve substantial costs. Given the breadth of the laws and regulations and narrowness of any exceptions, limited guidance for certain laws and regulations and evolving government interpretations of the laws and regulations, regulatory authorities may possibly conclude that our business practices may not comply with healthcare laws and regulations, including our consulting agreements and other relationships with healthcare providers.</w:t>
      </w:r>
    </w:p>
    <w:p>
      <w:pPr>
        <w:spacing w:after="0" w:line="20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If our operations are found to be in violation of any of the laws described above or any other governmental laws and regulations that may apply to us, we may be subject to actions including the imposition of civil, criminal, and administrative penalties, damages, disgorgement, monetary fines, possible exclusion from participation in Medicare, Medicaid, and other federal healthcare programs, individual imprisonment, contractual damages, reputational harm, diminished profits and future earnings, additional reporting requirements, or oversight if we become subject to a corporate integrity agreement or similar agreement to resolve allegations of non-compliance with these laws, and curtailment or restructuring of our operations, any of which could adversely affect our ability to operate our business and our results of operations. Further, defending against any such actions can be costly, time consuming, and may require significant personnel resources. Therefore, even if we are successful in defending against any such actions that may be brought against us, our business may be impaired.</w:t>
      </w:r>
    </w:p>
    <w:p>
      <w:pPr>
        <w:spacing w:after="0" w:line="20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Our business operations may subject us to data protection laws, including the GDPR, the UK GDPR, the CCPA and other similar laws.</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GDPR and UK GDPR apply to companies established in the EEA and UK, respectively, as well as to companies that are not established in the EEA or UK, respectively, and which collect and use personal data in relation to (i) offering goods or services to, or (ii) monitoring the behavior of, individuals located in the EEA or UK, respectively. If we conduct clinical trial programs in the EEA or UK (whether the trials are conducted directly by us or through a clinical vendor or collaborator), enter into research collaborations involving the monitoring of individuals in the EEA or UK, or market our products to individuals in the EEA or UK, we will be subject to the GDPR or UK GDPR, as applicable, which place stringent operational requirements for processors and controllers of personal data of individuals in the EEA and UK, respectively. If our or our collaborators’ or service providers’ privacy or data security measures fail to comply with the GDPR or UK GDPR requirements, we may be subject to litigation, regulatory investigations, enforcement notices requiring us to change the way we use personal data, temporary or definitive bans on data processing, or fines of up to 20 million Euros in the case of GDPR or £17.5 million in the case of UK GDPR or, in each case, up to 4% of our total worldwide annual revenue of the preceding financial year, whichever is higher, as well as compensation claims by affected individuals, including class-action type litigation, negative publicity, reputational harm and a potential loss of business and goodwill.</w:t>
      </w:r>
    </w:p>
    <w:p>
      <w:pPr>
        <w:spacing w:after="0" w:line="2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Recent legal developments in Europe have created complexity and uncertainty regarding transfers of personal data from the EEA and the UK to the United States. On July 16, 2020, the Court of Justice of the European Union ("CJEU") invalidated the EU-US Privacy Shield Framework (the "Privacy Shield") under which personal data could be transferred from the EEA to US entities who had self-certified under the Privacy Shield scheme. This framework has been replaced by the E.U.-U.S. Data Privacy Framework, for which the EC adopted an adequacy decision in July 2023, and the UK Extension to the E.U.-U.S. Data Privacy Framework, which took effect in October 2023. While we do not currently rely upon these frameworks, we expect there to be legal challenges to this framework in the future, which could draw into question the legitimacy of other cross-border transfer mechanisms, including the standard contractual clauses on which we rely to transfer personal data from the EEA and UK to the U.S. and other jurisdictions. On June 4, 2021, the EC released two revised sets of standard contractual clauses for transfers of personal data from the EEA to the U.S. and has indicated that it will release additional revised standard contractual clauses in the future.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These recent developments may require us to review and amend the legal mechanisms by which we make and/ or receive personal data transfers to/ in the United States. Other countries outside of the EEA and UK maintain different privacy laws that we are subject to which may further increase our costs of compliance and expose us to greater legal risk.</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While we do not believe that we are directly subject to HIPAA as either a “covered entity” or “business associate,” U.S. sites at which we conduct clinical trials are likely to be covered entities and thus must ensure that they obtain adequate patient authorization or establish another basis under HIPAA to disclose a clinical trial subject’s individually identifiable health information to us and other entities participating in our clinical trials.</w:t>
      </w:r>
    </w:p>
    <w:p>
      <w:pPr>
        <w:spacing w:after="0" w:line="20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United States, the CCPA imposes many obligations for the collection, processing, and sharing of personal information of California residents. The CCPA provides for civil penalties for violations, as well as a private right of action for data breaches that is expected to increase data breach litigation. Because we have not yet generated revenue and do not meet the CCPA’s other jurisdictional tests, we do not yet meet the applicable threshold for the CCPA to apply to our business. If our business becomes subject to CCPA in the future, it could increase our compliance costs and potential liability. Similar laws have been proposed or passed in more than half of the states in the U.S. and in the U.S. Congress. In addition, Washington state enacted the My Health, My Data Act, a health-focused consumer privacy law, which took effect in March 2024. This law imposes obligations related to the collection and sharing of certain health-related information that is not subject to HIPAA and that does not fall within certain other exceptions in the law. Other states have enacted, or are in the process of enacting, similar health-focused consumer privacy laws. Furthermore, all fifty U.S. states, the District of Columbia, Puerto Rico, and other U.S. territories have enacted data breach notification laws that require, among other things, notifications to state governments and/or the affected individuals in the event of a data breach. Such laws differ from one another, and may impose significant compliance burden. Further, we may at times fail, or be perceived to have failed, to have complied with such laws. This could result in significant consequences, which include, but are not limited to, the imposition of fines and penalties, government enforcement actions, investigations and other proceedings, as well as additional reporting requirements and/or oversight.</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Also of note, in June 2024, the Protecting Americans’ Data from Foreign Adversaries Act of 2024 took effect. This law prohibits data brokers from making available certain personally identifiable sensitive data of U.S. individuals to “foreign adversary” countries, such as the People’s Republic of China (the “PRC”), and entities controlled by such countries. Additionally, in January 2025, the U.S. Department of Justice published a final rule implementing President Biden’s Executive Order 14117, “Preventing Access to Americans’ Bulk Sensitive Personal Data and United States Government-Related Data by Countries of Concern,” which became effective in April 2025. This final rule prohibits certain data brokerage transactions and transactions involving certain bulk human ‘omic data, including human genomic data and biospecimens from which such data can be derived, with restricted jurisdictions, such as the PRC, and “covered persons” that have certain ties to such restricted jurisdictions. The final rule also places restrictions on certain vendor, employment and investment agreements with such jurisdictions. These restrictions may affect our ability to engage in collaborations or license agreements with entities in restricted countries or with a nexus to such countries going forward. As such, we will need to review periodically our operations in comparison to developments in such laws. Achieving and sustaining compliance with applicable international, federal and state privacy, security, and breach reporting laws may prove time-consuming and costly. Failure to comply with any of these legal requirements could have a material adverse effect on our reputation, business, or financial condition, including but not limited to: interruptions or stoppages in our business operations, including our clinical studies;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operations, including our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2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the production efforts of our third-party manufacturers or our development efforts may be interrupted or delayed.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If we are unable to obtain, maintain and enforce patent protection for our technology and product candidates, or if the scope of the patent protection obtained is not sufficiently broad, our competitors could develop and commercialize similar or identical technology and products, and our ability to successfully develop and commercialize our technology and product candidates may be adversely affected.</w:t>
      </w:r>
    </w:p>
    <w:p>
      <w:pPr>
        <w:ind w:right="100"/>
        <w:spacing w:after="0" w:line="255" w:lineRule="auto"/>
        <w:rPr>
          <w:sz w:val="20"/>
          <w:szCs w:val="20"/>
          <w:color w:val="auto"/>
        </w:rPr>
      </w:pPr>
      <w:r>
        <w:rPr>
          <w:rFonts w:ascii="Arial" w:cs="Arial" w:eastAsia="Arial" w:hAnsi="Arial"/>
          <w:sz w:val="18"/>
          <w:szCs w:val="18"/>
          <w:color w:val="auto"/>
        </w:rPr>
        <w:t>Our success depends in large part on our ability to obtain and maintain intellectual property, particularly patents, in the United States and other countries, with respect to any proprietary technology and product candidates we develop. If we are unable to obtain or maintain patent protection of proprietary technology or product candidates by filing patent applications and/or in-licensing related intellectual property in commercially relevant jurisdictions, our business, financial condition, results of operations and prospects could be materially harmed.</w:t>
      </w:r>
    </w:p>
    <w:p>
      <w:pPr>
        <w:spacing w:after="0" w:line="20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patent prosecution process is expensive, time-consuming and complex, and we may not be able to identify, file, prosecute, maintain, defend or license all necessary or desirable patent applications at a reasonable cost or in a timely manner. In some circumstances involving technology that we license from third parties, we do not have the sole right to control the preparation, filing and prosecution of patent applications or to maintain, enforce and defend the in-licensed patents. Therefore, these in-licensed patents and applications may not be prepared, filed, prosecuted, maintained, defended and enforced in a manner consistent with the best interests of our business.</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patent rights of pharmaceutical and biotechnology companies generally are highly uncertain, involve complex legal and factual questions and have been the subject of much litigation in recent years. No consistent policy regarding the breadth of claims allowed in biotechnology and pharmaceutical patents has emerged in the United States or in numerous foreign jurisdictions. Various courts, including the U.S. Supreme Court, have rendered decisions that affect the scope of patent eligibility of certain inventions or discoveries relating to biotechnology. These decisions conclude, among other things, that abstract ideas, natural phenomena and laws of nature are not themselves patent eligible subject matter.</w:t>
      </w:r>
    </w:p>
    <w:p>
      <w:pPr>
        <w:spacing w:after="0" w:line="2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Precisely what constitutes a law of nature or abstract idea is uncertain, and certain aspects of our technology could be considered ineligible for patenting under applicable law. In addition, the scope of patent protection outside the United States is uncertain, and laws of foreign countries may not protect our rights to the same extent as the laws of the United States or vice versa. For example, European patent law precludes the patentability of methods of treatment of the human body. With respect to both owned and in-licensed patent rights, we cannot predict whether the patent applications we and our licensors are currently pursuing will issue as patents that protect our technology and product candidates, in whole or in part, in any particular jurisdiction or whether the claims of any issued patents will provide sufficient protection from competitors. Changes in either the patent laws or interpretation of the patent laws in the United States or other countries may diminish the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value of our patents and our ability to obtain, protect, maintain, defend and enforce our patent rights, narrow the scope of our patent protection and, more generally, affect the value or narrow the scope of our patent rights.</w:t>
      </w:r>
    </w:p>
    <w:p>
      <w:pPr>
        <w:spacing w:after="0" w:line="18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Publications of discoveries in the scientific literature often lag behind the actual discoveries, and patent applications in the United States and other jurisdictions are typically not published until 18 months after filing, or, in some cases, are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uncertain. In addition, the scope of patent protection outside the United States is uncertain, and laws of foreign countries might not protect our rights to the same extent as the laws of the United States or vice versa.</w:t>
      </w: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the coverage claimed in a patent application can be significantly reduced before the patent is issued, and its scope can be reinterpreted after issuance. Even if our patent applications issue as patents, they might not issue in a form that will provide us with any competitive advantage. The issuance of a patent is not conclusive as to its inventorship, scope, validity or enforceability, and our patents might be challenged in a variety of proceedings before courts or patent offices in the United States and abroad. Such challenges might result in loss of exclusivity or in patent claims being narrowed, invalidated or held unenforceable, which could reduce the scope of, or invalidate, our patent rights, allow third parties to commercialize our technology without payment to us, and/or limit the duration of the patent protection of our technology and product candidates. If the breadth or strength of our patents and patent applications is threatened, regardless of the outcome, it could dissuade companies from collaborating with us to license, develop or commercialize current or future product candidates.</w:t>
      </w:r>
    </w:p>
    <w:p>
      <w:pPr>
        <w:spacing w:after="0" w:line="21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For these reasons, our patent portfolio might not provide us with sufficient rights to exclude others from using or commercializing technology and products similar or identical to our technology and product candidates.</w:t>
      </w:r>
    </w:p>
    <w:p>
      <w:pPr>
        <w:spacing w:after="0" w:line="182" w:lineRule="exact"/>
        <w:rPr>
          <w:sz w:val="20"/>
          <w:szCs w:val="20"/>
          <w:color w:val="auto"/>
        </w:rPr>
      </w:pPr>
    </w:p>
    <w:p>
      <w:pPr>
        <w:jc w:val="both"/>
        <w:ind w:right="1000"/>
        <w:spacing w:after="0" w:line="256"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requirements imposed by governmental patent agencies, and our patent protection could be reduced or eliminated for non-compliance with these requirements.</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U.S. Patent and Trademark Office ("USPTO") and foreign patent offices have a number of procedural and documentary requirements that must be complied with during the patent application and prosecution process. Periodic fees must be paid to the USPTO and foreign patent offices at several stages or annually over the lifetime of issued patents and pending patent applications. In certain circumstances, we might rely on our licensing partners to meet procedural, documentary, and fee requirements of the relevant patent agency. With respect to our patents, we rely outside counsel to remind us of the due dates and to make payment after we instruct them to do so. While an inadvertent lapse can in many cases be cured, there are situations in which noncompliance can result in abandonment or lapse of the patent or patent application, resulting in partial or complete loss of patent rights in the relevant jurisdiction. If we or our licensors fail to maintain current and future patents and patent applications covering our product candidates, our competitors might be able to enter the market with similar or identical products or technology, which would have a material adverse effect on our business, financial condition, results of operations, and prospects.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In addition, the laws of some foreign countries do not protect intellectual property rights to the same extent as federal and state laws in the United States, and even where such protection is available, adequate judicial and governmental enforcement of such intellectual property rights may be lacking. Consequently, third parties may attempt to develop and/or commercialize competitive products in foreign countries where we do not have any patent protection and/or where legal recourse may be limited. Further, we may not be able to prevent third parties from importing products made using our inventions into the United States or other jurisdictions. This may have a significant commercial impact on our business operations.</w:t>
      </w:r>
    </w:p>
    <w:p>
      <w:pPr>
        <w:spacing w:after="0" w:line="21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Proceedings to enforce our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even if we do</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prevail,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98"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Changes to patent laws in the United States and other jurisdictions could diminish the value of our patents, thereby impairing our ability to protect our products.</w:t>
      </w:r>
    </w:p>
    <w:p>
      <w:pPr>
        <w:spacing w:after="0" w:line="1"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Changes in either the patent laws or interpretation of patent laws in the United States or other jurisdictions could increase the uncertainties and costs surrounding the prosecution of our patent applications and the maintenance, enforcement or defense of our issued patents, all of which could have a material adverse effect on our business. For example, in 2023, patent reform in the EU created a unitary patent and established a Unified Patent Court ("UPC"). The unitary patent facilitates validation of a patent granted by the European Patent Office in the EU member states that participate in the unitary patent. The UPC is a centralized body with jurisdiction over actions for preliminary injunctions, infringement, and revocation of patents granted by the European Patent Office. While the UPC has exclusive jurisdiction over unitary patents, patentees that do not utilize the unitary patent for validation can opt existing or future patents out of the jurisdiction of the UPC. There are both risks and benefits associated with pursuing Unitary Patents and with submitting to the jurisdiction of the UPC in the absence of a Unitary Patent. For example, because the UPC is a relatively new forum, little precedent exists, and the manner in which European patent law will be applied by the UPC is unpredictable, which presents potential risks to a patent’s scope and enforceability. In addition, an unfavorable outcome before the UPC could result in a European patent being invalidated in all participating member states. In comparison, European patents that are not under the jurisdiction of the UPC must be litigated separately in each member state, which causes patent challengers to incur additional costs and leaves open the possibility that a challenged patent could be affirmed in some member states, even if it is invalidated in others. From an enforcement perspective, the ability to assert patents against infringers under the UPC system could have significant financial benefits for a patentee, due to the ability to litigate in a single forum, rather than in each individual member state.</w:t>
      </w:r>
    </w:p>
    <w:p>
      <w:pPr>
        <w:spacing w:after="0" w:line="2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Currently, we do not have any unitary patents and we have opted out of UPC jurisdiction for our existing European patents. While we have and will continue to make case-by-case decisions about whether to pursue unitary patents or to elect the jurisdiction of the UPC, we cannot be certain that a more favorable outcome could be achieved if the opposite decision were made. We also cannot be certain whether the legal precedent of the UPC will evolve in a manner that is more or less favorable to us than the precedent of individual member states in a given situation or for a given patent.</w:t>
      </w:r>
    </w:p>
    <w:p>
      <w:pPr>
        <w:spacing w:after="0" w:line="20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addition to legislative changes, recent U.S. Supreme Court rulings have narrowed the scope of patent protection available in certain circumstances and weakened the rights of patent owners in certain situations. This combination of events has increased uncertainty with respect to the validity and enforceability of patents once obtained. Similarly, foreign courts have made, and will likely continue to make, changes in how the patent laws in their respective jurisdictions are interpreted. Further, political changes in government leadership both within and outside of the U.S. could result in changes to national patent laws and regulations or multi-country intellectual property treaties, which could impact patent enforcement in the U.S. and internationally.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our business could be harmed.</w:t>
      </w:r>
    </w:p>
    <w:p>
      <w:pPr>
        <w:spacing w:after="0" w:line="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addition to our existing licensing agreements, it may be necessary for us to use the patented or proprietary technology of third parties to commercialize our products, if approved, in which case we would be required to obtain a license from these third parties. The in-licensing and acquisition of third-party intellectual property rights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These factors might mean fewer suitable licensing opportunities for us, as well as higher acquisition or licensing costs.</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If we are unable to obtain a necessary license, the third parties owning such intellectual property rights could seek an injunction prohibiting our development and/or commercialization of the affected product candidates. Even if we are able to obtain a license, the terms may be unfavorable; for example, it may require substantial licensing or royalty payments, or be non-exclusive, thereby giving our competitors access to the same technologies licensed to us.</w:t>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we are unable to obtain third-party intellectual property rights or to maintain our existing intellectual property rights,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20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b w:val="1"/>
          <w:bCs w:val="1"/>
          <w:i w:val="1"/>
          <w:iCs w:val="1"/>
          <w:color w:val="auto"/>
        </w:rPr>
        <w:t>If we fail to comply with our obligations in our intellectual property licenses with third parties, or otherwise experience disruptions to our business relationships with our licensors, we could lose intellectual property rights that are important to our business.</w:t>
      </w:r>
    </w:p>
    <w:p>
      <w:pPr>
        <w:ind w:right="160"/>
        <w:spacing w:after="0" w:line="253" w:lineRule="auto"/>
        <w:rPr>
          <w:sz w:val="20"/>
          <w:szCs w:val="20"/>
          <w:color w:val="auto"/>
        </w:rPr>
      </w:pPr>
      <w:r>
        <w:rPr>
          <w:rFonts w:ascii="Arial" w:cs="Arial" w:eastAsia="Arial" w:hAnsi="Arial"/>
          <w:sz w:val="18"/>
          <w:szCs w:val="18"/>
          <w:color w:val="auto"/>
        </w:rPr>
        <w:t>We are party to license agreements that impose upon us certain obligations, and we may enter into additional licensing and funding arrangements with third parties that may impose, among other things, diligence, development, and commercialization timelines, milestone and royalty payments, and insurance. If we fail to comply with such obligations under current or future license and funding agreements, our counterparties may have the right to terminate these agreements, in which event we might be forced to cease developing, manufacturing or marketing any product that is covered by these agreements or may face other penalties under such agreements, or our counterparties may require us to grant them certain rights. Such an occurrence could materially adversely affect the value of any product candidate being developed under any such agreement.</w:t>
      </w:r>
    </w:p>
    <w:p>
      <w:pPr>
        <w:spacing w:after="0" w:line="210"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Termination or reduction or elimination of our rights under these agreements, or restrictions on our ability to freely assign or sublicense our rights under such agreements may result in our loss of rights or our having to negotiate new or reinstated agreements with less favorable terms, which would impede, delay or prohibit the further development or commercialization of any product candidates that rely on such agreements.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Disputes may arise regarding intellectual property that is or becomes subject to a licensing agreement, including:</w:t>
      </w:r>
    </w:p>
    <w:p>
      <w:pPr>
        <w:spacing w:after="0" w:line="252"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under the license agreement and other matters of contract interpretation;</w:t>
      </w:r>
    </w:p>
    <w:p>
      <w:pPr>
        <w:spacing w:after="0" w:line="251" w:lineRule="exact"/>
        <w:rPr>
          <w:rFonts w:ascii="Times New Roman" w:cs="Times New Roman" w:eastAsia="Times New Roman" w:hAnsi="Times New Roman"/>
          <w:sz w:val="18"/>
          <w:szCs w:val="18"/>
          <w:color w:val="auto"/>
        </w:rPr>
      </w:pPr>
    </w:p>
    <w:p>
      <w:pPr>
        <w:ind w:left="660" w:right="420" w:hanging="328"/>
        <w:spacing w:after="0" w:line="286" w:lineRule="auto"/>
        <w:tabs>
          <w:tab w:leader="none" w:pos="656"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whether and the extent to which our technology and processes infringe the intellectual property rights of the licensor that are not subject to the licensing agreement;</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whether our licensor or its licensor had the right to grant the license agreement;</w:t>
      </w:r>
    </w:p>
    <w:p>
      <w:pPr>
        <w:spacing w:after="0" w:line="251" w:lineRule="exact"/>
        <w:rPr>
          <w:rFonts w:ascii="Times New Roman" w:cs="Times New Roman" w:eastAsia="Times New Roman" w:hAnsi="Times New Roman"/>
          <w:sz w:val="18"/>
          <w:szCs w:val="18"/>
          <w:color w:val="auto"/>
        </w:rPr>
      </w:pPr>
    </w:p>
    <w:p>
      <w:pPr>
        <w:ind w:left="660" w:right="360" w:hanging="328"/>
        <w:spacing w:after="0" w:line="286" w:lineRule="auto"/>
        <w:tabs>
          <w:tab w:leader="none" w:pos="656"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whether third parties are entitled to compensation or equitable relief, such as an injunction, for our use of the intellectual property rights without their authorization;</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our involvement in the prosecution of licensed patents and our licensors’ overall patent enforcement strategy;</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amounts of royalties, milestones or other payments due under the license agreement;</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sublicensing of patent and other rights under collaborative development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51" w:lineRule="exact"/>
        <w:rPr>
          <w:rFonts w:ascii="Times New Roman" w:cs="Times New Roman" w:eastAsia="Times New Roman" w:hAnsi="Times New Roman"/>
          <w:sz w:val="18"/>
          <w:szCs w:val="18"/>
          <w:color w:val="auto"/>
        </w:rPr>
      </w:pPr>
    </w:p>
    <w:p>
      <w:pPr>
        <w:ind w:left="660" w:right="380" w:hanging="328"/>
        <w:spacing w:after="0" w:line="286" w:lineRule="auto"/>
        <w:tabs>
          <w:tab w:leader="none" w:pos="656"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priority of invention of patented technology.</w:t>
      </w:r>
    </w:p>
    <w:p>
      <w:pPr>
        <w:spacing w:after="0" w:line="25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resolution of any contract disagreement that may arise could narrow the scope of our rights to the relevant intellectual property or technology, could increase our financial or other obligations under the relevant agreement, or could result in loss of some or all rights under the license agreement.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Any of these outcomes could have a material adverse effect on our business, financial condition, results of operations and prospects.</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Despite our efforts, our licensors or future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could seek regulatory approval for and market products and technologies identical to ours. This could have a material adverse effect on our competitive position, business, financial condition, results of operations and prospects.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not protect our competitive position for an adequate amount of time.</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approved for use or commercialized. As a result, our patent portfolio may not provide us with sufficient rights to exclude others from commercializing products similar or identical to ours during periods when commercial exclusivity would be valuable to us.</w:t>
      </w:r>
    </w:p>
    <w:p>
      <w:pPr>
        <w:spacing w:after="0" w:line="212" w:lineRule="exact"/>
        <w:rPr>
          <w:sz w:val="20"/>
          <w:szCs w:val="20"/>
          <w:color w:val="auto"/>
        </w:rPr>
      </w:pPr>
    </w:p>
    <w:p>
      <w:pPr>
        <w:ind w:right="720"/>
        <w:spacing w:after="0" w:line="259" w:lineRule="auto"/>
        <w:rPr>
          <w:sz w:val="20"/>
          <w:szCs w:val="20"/>
          <w:color w:val="auto"/>
        </w:rPr>
      </w:pPr>
      <w:r>
        <w:rPr>
          <w:rFonts w:ascii="Arial" w:cs="Arial" w:eastAsia="Arial" w:hAnsi="Arial"/>
          <w:sz w:val="18"/>
          <w:szCs w:val="18"/>
          <w:b w:val="1"/>
          <w:bCs w:val="1"/>
          <w:i w:val="1"/>
          <w:iCs w:val="1"/>
          <w:color w:val="auto"/>
        </w:rPr>
        <w:t>If we do not obtain a patent term extension for any product candidates we might develop, our business might be materially harmed.</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United States, the term of a patent that covers an FDA-approved drug may be eligible for a patent term extension ("PTE") of up to five years beyond the expiration date of the patent, as compensation for the patent term lost during the FDA regulatory review process. The Drug Price Competition and Patent Term Restoration Act of 1984, also known as the Hatch-Waxman Act, permits a PTE of up to five years beyond the expiration date of the patent. The length of the PTE is related to the length of time the drug is under regulatory review, and cannot extend the remaining term of a patent beyond a total of 14 years from the date of product approval. The patent term of only one patent applicable to an approved drug may be extended, and only those claims covering the approved drug, a method for using it or a method for manufacturing it may be extended. Similar provisions are available in Europe and certain other jurisdictions. While we expect to apply for PTE on patents covering our product candidates, there is no guarantee that such extensions will be granted and, even if granted, the length of such extensions. We may not be granted PTE either in the United States or in any foreign country, even where that patent is eligible for PTE, if, for example, we fail to exercise due diligence during the testing phase or regulatory review process, fail to apply within applicable deadlines, fail to apply prior to expiration of relevant patents or otherwise fail to satisfy applicable requirements. Furthermore, for licensed patents, we might not be able to control whether a petition to obtain a PTE is filed or obtained from the USPTO and/or foreign patent office(s). If we are unable to obtain any PTE, or if the term of extension is less than we request, our business, financial condition, results of operations and prospects could be materially harmed.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to seeking patents for some of our technology and product candidates, we seek to protect our trade secrets and other proprietary technology, in part, by entering into non-disclosure and confidentiality agreements with parties who have access to them, such as our employees, corporate collaborators, outside scientific collaborators, contract research organizations, contract manufacturers, consultants, advisors and other third parties. Despite these efforts, any of these parties may breach the agreements and disclose our proprietary information, and we may not be able to obtain adequate remedies. Detecting the disclosure or misappropriation of a trade secret and enforcing a claim that a party illegally disclosed or misappropriated a trade secret is difficult, expensive and time-consuming, and the outcome is unpredictable. Further, we cannot guarantee that we have entered into confidentiality agreements with each party that may have or has had access to our trade secrets or proprietary technology.</w:t>
      </w:r>
    </w:p>
    <w:p>
      <w:pPr>
        <w:spacing w:after="0" w:line="21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Over time, our trade secrets, know-how and proprietary information may be disseminated within the industry through independent development, the publication of journal articles and the movement of personnel to and from academic and industry scientific positions. Consequently, we may be unable to prevent others from exploiting that technology, which could affect our ability to expand in domestic and international markets. If any of our trade secrets were to be disclosed to or independently developed by a competitor or other third-party, our competitive position would be materially and adversely harmed.</w:t>
      </w:r>
    </w:p>
    <w:p>
      <w:pPr>
        <w:spacing w:after="0" w:line="20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 These security measures may be breached, and we may not have adequate remedies for any breach.</w:t>
      </w:r>
    </w:p>
    <w:p>
      <w:pPr>
        <w:spacing w:after="0" w:line="20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might be unable to successfully register our trademarks and trade names, and/or to establish name recognition based on our trademarks and trade names, which could result in substantial costs and diversion of resources, and could adversely impact our ability to compete effectively. In addition, our trademarks or trade names may be challenged, infringed, circumvented, declared generic or determined to be infringing on other marks. We may not be able to protect our rights to these trademarks and trade names or may be forced to stop using them. At times, competitors may adopt trademarks or trade names similar to ours, impeding our ability to build brand identity, and possibly leading to market confusion. In addition, we could be subject to trademark or trade name infringement claims brought by owners of other registered trademarks or trade names.</w:t>
      </w:r>
    </w:p>
    <w:p>
      <w:pPr>
        <w:spacing w:after="0" w:line="212" w:lineRule="exact"/>
        <w:rPr>
          <w:sz w:val="20"/>
          <w:szCs w:val="20"/>
          <w:color w:val="auto"/>
        </w:rPr>
      </w:pPr>
    </w:p>
    <w:p>
      <w:pPr>
        <w:ind w:right="840"/>
        <w:spacing w:after="0" w:line="259"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 or other intellectual property rights, which could be expensive, time-consuming and unsuccessful.</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Competitors and other third parties may infringe, misappropriate or otherwise violate our patents or other intellectual property. As a result, we or our licensors may need to file infringement, misappropriation or other intellectual property claims, which can be expensive and time-consuming. Any claims we assert against others could provoke them to assert counterclaims against us alleging that we infringe, misappropriate or otherwise violate their intellectual property rights.</w:t>
      </w:r>
    </w:p>
    <w:p>
      <w:pPr>
        <w:spacing w:after="0" w:line="20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 patent infringement proceeding, the perceived infringers could counterclaim that the patents we or our licensors have asserted are invalid or unenforceable. In patent litigation in the United States, defendant counterclaims alleging invalidity or unenforceability are common. Grounds for a validity challenge could be an alleged failure to meet any of several statutory requirements, including lack of novelty, obviousness, or non-enablement. Grounds for an unenforceability assertion include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such as opposition proceedings in the European Patent Office. The outcomes of allegations of invalidity or unenforceability are unpredictable. With respect to validity, for example, we cannot be certain that there is no invalidating prior art of which the patent examiner and we or our licensing partners were unaware during prosecution.</w:t>
      </w:r>
    </w:p>
    <w:p>
      <w:pPr>
        <w:spacing w:after="0" w:line="21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An adverse result in any such proceeding could put our patents at risk of being invalidated or interpreted narrowly and could put our patent applications at risk of not yielding an issued patent. A court may also refuse to enjoin a third-party from using the technology at issue, for example, on the basis that patents do not cover that</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technology. Furthermore, if the breadth or strength of protection provided by our current or future patents and patent applications is threatened, regardless of the outcome, it could dissuade companies from collaborating with us to license, develop or commercialize current or future products or services. In addition, the uncertainties associated with litigation could have a material adverse effect on our ability to raise the funds necessary to continue our research programs and clinical trials.</w:t>
      </w:r>
    </w:p>
    <w:p>
      <w:pPr>
        <w:spacing w:after="0" w:line="203"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might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interference or derivation proceedings might fail and, even if successful, might result in substantial costs.</w:t>
      </w:r>
    </w:p>
    <w:p>
      <w:pPr>
        <w:spacing w:after="0" w:line="19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and other proceedings, there is a risk that some of our confidential information or trade secrets could be disclosed during litigation. This could allow third parties to develop and commercialize competing technologies and products, and have a material adverse impact on our business, financial condition, results of operations and prospects.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or our licensors may be subject to claims that former employees, collaborators or other third parties have an interest in our patents, trade secrets or other intellectual property. For example, we may have inventorship or ownership disputes that arise from conflicting obligations of employees, consultants or others who are involved in developing our product candidates. Litigation may be necessary to defend against these and other claims challenging inventorship or ownership of our patents, trade secrets or other intellectual property. If we or our licensors or collaborators fail in defending any such claims, we may be required to pay monetary damages and we may also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Third parties may allege that we are violating their intellectual property rights, the outcome of which would be uncertain and could have a material adverse effect on our business.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Numerous U.S. and foreign issued patents and pending patent applications that are owned by third parties exist in the fields in which we are pursuing development candidates. We may not be aware of all such intellectual property rights potentially relating to our technology and product candidates, or we may incorrectly conclude that third-party intellectual property is invalid or that our activities and product candidates do not infringe the intellectual property rights of third parties. Thus, we do not know with certainty that our technology and product candidates, or our development and commercialization thereof, do not and will not infringe, misappropriate or otherwise violate any third-party’s intellectual property rights.</w:t>
      </w:r>
    </w:p>
    <w:p>
      <w:pPr>
        <w:spacing w:after="0" w:line="21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Competitors may also assert that our product candidates infringe their intellectual property rights as part of a business strategy to impede our successful entry into those markets. Adversarial proceedings might also be initiated by patent holding companies or other adverse patent owners who have no relevant product or service revenue, and against whom our own patents might provide little or no deterrence or protection. The legal threshold for initiating litigation or contested proceedings is low, so that even lawsuits or proceedings with a low probability of success might be initiated and require significant resources and management attention to defend. The risks of being involved in such litigation and proceedings may increase if and as our product candidates near commercialization and as we gain greater visibility as a public company.</w:t>
      </w:r>
    </w:p>
    <w:p>
      <w:pPr>
        <w:spacing w:after="0" w:line="210"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A court could hold that third-party patents are valid, enforceable and infringed by our product candidates or activities. To successfully challenge the validity of a U.S. patent in federal court, we would need to overcome a presumption of validity, which is a high burden that requires clear and convincing evidence of invalidity. There is no assurance that a court would invalidate the claims of any such U.S. patent.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Parties making claims against us may obtain injunctive or other equitable relief that could block our ability to commercialize our product candidates. In the event of a successful claim of infringement against us, we may have to pay substantial damages, including treble damages and attorneys’ fees for willful infringement, indemnify customers, collaborators or other third parties; seek new regulatory approvals; and/or redesign our infringing products, which may not be possible or practical. In addition, if we are found to infringe, misappropriate or otherwise violate a third-party’s intellectual property rights, we may be required to obtain a license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Further, a license could require us to make substantial licensing and royalty payments.</w:t>
      </w:r>
    </w:p>
    <w:p>
      <w:pPr>
        <w:spacing w:after="0" w:line="21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consultants or contractors have wrongfully used or disclosed confidential information or trade secrets of such third parties, that we have misappropriated their intellectual property, or that they own what we regard as our own intellectual property.</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Many of our employees, consultants and contractors were previously employed or engaged by universities or other pharmaceutical or biotechnology companies. Many of them executed proprietary rights, non-disclosure and/or non-competition agreements in connection with such previous employment or engagement. Although we try to ensure that the individuals who work for us do not use the intellectual property rights, proprietary information, know-how or trade secrets of others in their work for us, we may be subject to claims that we or they have obtained, used, infringed, misappropriated, disclosed or otherwise violated the intellectual property rights of third parties. Any resulting litigation or the threat of litigation may adversely affect our ability to hire employees or engage consultants and contractors. A loss of key personnel or their work product could hamper or prevent us from developing and commercializing products and product candidates, which could harm our business.</w:t>
      </w:r>
    </w:p>
    <w:p>
      <w:pPr>
        <w:spacing w:after="0" w:line="21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obtaining such an agreement from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 results of operations, and prospects.</w:t>
      </w:r>
    </w:p>
    <w:p>
      <w:pPr>
        <w:spacing w:after="0" w:line="209"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If we fail in prosecuting or defending any such claims, we may be required to pay monetary damages, and we may also lose valuable intellectual property rights or personnel, which could have a material adverse effect on our competitive position and prospects.</w:t>
      </w:r>
    </w:p>
    <w:p>
      <w:pPr>
        <w:spacing w:after="0" w:line="18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Intellectual property litigation or other legal proceedings relating to intellectual property could cost substantial resources. </w:t>
      </w: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involving such proceedings,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resources to conduct such litigation or proceedings adequately. Uncertainties resulting from the initiation and continuation of intellectual property litigation or other proceedings could compromise our ability to compete in the marketplace.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5"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a competitive advantage. For example: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240" w:hanging="328"/>
        <w:spacing w:after="0" w:line="286" w:lineRule="auto"/>
        <w:tabs>
          <w:tab w:leader="none" w:pos="656"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our or their inventions;</w:t>
      </w:r>
    </w:p>
    <w:p>
      <w:pPr>
        <w:spacing w:after="0" w:line="180" w:lineRule="exact"/>
        <w:rPr>
          <w:rFonts w:ascii="Times New Roman" w:cs="Times New Roman" w:eastAsia="Times New Roman" w:hAnsi="Times New Roman"/>
          <w:sz w:val="18"/>
          <w:szCs w:val="18"/>
          <w:color w:val="auto"/>
        </w:rPr>
      </w:pPr>
    </w:p>
    <w:p>
      <w:pPr>
        <w:ind w:left="660" w:right="460" w:hanging="328"/>
        <w:spacing w:after="0" w:line="286" w:lineRule="auto"/>
        <w:tabs>
          <w:tab w:leader="none" w:pos="656"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it is possible that our pending or future patent applications will not lead to issued patents;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issued patents that we hold rights to may be held invalid or unenforceable;</w:t>
      </w:r>
    </w:p>
    <w:p>
      <w:pPr>
        <w:spacing w:after="0" w:line="251" w:lineRule="exact"/>
        <w:rPr>
          <w:rFonts w:ascii="Times New Roman" w:cs="Times New Roman" w:eastAsia="Times New Roman" w:hAnsi="Times New Roman"/>
          <w:sz w:val="18"/>
          <w:szCs w:val="18"/>
          <w:color w:val="auto"/>
        </w:rPr>
      </w:pPr>
    </w:p>
    <w:p>
      <w:pPr>
        <w:ind w:left="660" w:right="200" w:hanging="328"/>
        <w:spacing w:after="0" w:line="268" w:lineRule="auto"/>
        <w:tabs>
          <w:tab w:leader="none" w:pos="656"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96" w:lineRule="exact"/>
        <w:rPr>
          <w:rFonts w:ascii="Times New Roman" w:cs="Times New Roman" w:eastAsia="Times New Roman" w:hAnsi="Times New Roman"/>
          <w:sz w:val="18"/>
          <w:szCs w:val="18"/>
          <w:color w:val="auto"/>
        </w:rPr>
      </w:pPr>
    </w:p>
    <w:p>
      <w:pPr>
        <w:ind w:left="660" w:right="240" w:hanging="328"/>
        <w:spacing w:after="0" w:line="286" w:lineRule="auto"/>
        <w:tabs>
          <w:tab w:leader="none" w:pos="656"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we cannot ensure that any of our pending patent applications, if issued, will include claims having a scope sufficient to protect our product candidates;</w:t>
      </w:r>
    </w:p>
    <w:p>
      <w:pPr>
        <w:spacing w:after="0" w:line="180" w:lineRule="exact"/>
        <w:rPr>
          <w:rFonts w:ascii="Times New Roman" w:cs="Times New Roman" w:eastAsia="Times New Roman" w:hAnsi="Times New Roman"/>
          <w:sz w:val="18"/>
          <w:szCs w:val="18"/>
          <w:color w:val="auto"/>
        </w:rPr>
      </w:pPr>
    </w:p>
    <w:p>
      <w:pPr>
        <w:ind w:left="660" w:right="460" w:hanging="328"/>
        <w:spacing w:after="0" w:line="286" w:lineRule="auto"/>
        <w:tabs>
          <w:tab w:leader="none" w:pos="656"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we cannot ensure that any patents issued to us will provide a basis for an exclusive market for our commercially viable product candidates or will provide us with any competitive advantages;</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we cannot ensure that our commercial activities or product candidates will not infringe upon the patents of others;</w:t>
      </w:r>
    </w:p>
    <w:p>
      <w:pPr>
        <w:spacing w:after="0" w:line="251" w:lineRule="exact"/>
        <w:rPr>
          <w:rFonts w:ascii="Times New Roman" w:cs="Times New Roman" w:eastAsia="Times New Roman" w:hAnsi="Times New Roman"/>
          <w:sz w:val="18"/>
          <w:szCs w:val="18"/>
          <w:color w:val="auto"/>
        </w:rPr>
      </w:pPr>
    </w:p>
    <w:p>
      <w:pPr>
        <w:ind w:left="660" w:right="420" w:hanging="328"/>
        <w:spacing w:after="0" w:line="286" w:lineRule="auto"/>
        <w:tabs>
          <w:tab w:leader="none" w:pos="656"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we cannot ensure that we will be able to successfully commercialize our product candidates on a substantial scale, if approved, before the relevant patents that we own or license expire;</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develop additional proprietary technologies that are patentable;</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the patents of others may harm our business; and</w:t>
      </w:r>
    </w:p>
    <w:p>
      <w:pPr>
        <w:spacing w:after="0" w:line="251" w:lineRule="exact"/>
        <w:rPr>
          <w:rFonts w:ascii="Times New Roman" w:cs="Times New Roman" w:eastAsia="Times New Roman" w:hAnsi="Times New Roman"/>
          <w:sz w:val="18"/>
          <w:szCs w:val="18"/>
          <w:color w:val="auto"/>
        </w:rPr>
      </w:pPr>
    </w:p>
    <w:p>
      <w:pPr>
        <w:ind w:left="660" w:right="820" w:hanging="328"/>
        <w:spacing w:after="0" w:line="286" w:lineRule="auto"/>
        <w:tabs>
          <w:tab w:leader="none" w:pos="656"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we may choose not to seek patent protection in order to maintain certain trade secrets or know-how, and a third-party may subsequently file a patent covering such intellectual property.</w:t>
      </w:r>
    </w:p>
    <w:p>
      <w:pPr>
        <w:spacing w:after="0" w:line="18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Employees, Managing Our Growth and Our Operations</w:t>
      </w:r>
    </w:p>
    <w:p>
      <w:pPr>
        <w:spacing w:after="0" w:line="24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Our future success depends on our ability to retain our key personnel and to attract, retain and motivate qualified personnel. </w:t>
      </w:r>
      <w:r>
        <w:rPr>
          <w:rFonts w:ascii="Arial" w:cs="Arial" w:eastAsia="Arial" w:hAnsi="Arial"/>
          <w:sz w:val="18"/>
          <w:szCs w:val="18"/>
          <w:color w:val="auto"/>
        </w:rPr>
        <w:t>We are highly dependent on the expertise of the principal members of our management, scientific, and clinical teams. Our scientific and clinical development personnel have extensive experience developing and implementing novel clinical trial designs and successfully conducting clinical trials in never-before treated patient populations. If we lose one or more of our executive officers or key employees, our ability to execute our programs and implement our business strategy successfully could be seriously harmed. Furthermore, replacing executive officers and key employees may be difficult and may take an extended period of time because of the limited number of individuals in our industry with the breadth of skills and experience required to develop, gain regulatory approval of and commercialize product candidates successfully.</w:t>
      </w:r>
    </w:p>
    <w:p>
      <w:pPr>
        <w:spacing w:after="0" w:line="21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Competition to hire from this limited pool is intense, and we may be unable to hire, train, retain or motivate these additional key personnel on acceptable terms given the competition among numerous biotechnology and pharmaceutical companies for similar personnel. We may also experience competition for the hiring of scientific and clinical personnel from universities and research institutions.</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Many of our employees were previously employed by Alexion Pharmaceuticals, Inc. (now part of AstraZeneca), a potential competitor. To the extent we employ or engage personnel from competitors, we may be subject to allegations that such individuals have been improperly solicited or have divulged proprietary or other confidential information, or that their former employers own their research output.</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0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If employees seek alternate employment, we may have to increase reliance on external support to advance our operations. Any workforce reductions could also harm our ability to attract and retain qualified management, scientific, clinical, and manufacturing personnel who are critical to our business. Any failure to attract or retain qualified personnel could prevent us from successfully developing our product candidates in the future.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Despite the implementation of security measures, our computer systems, as well as those of our CROs and other contractors and consultants, are vulnerable to damage from computer viruses, unauthorized access, natural and manmade disasters (including hurricanes), terrorism, war, and telecommunication and electrical failures. While we do not believe that we have experienced any system failure or accident to date, if such an event were to occur and cause interruptions in our or their operations, it could result in delays and/or material disruptions of our research and development programs. For example, the loss of preclinical or clinical trial data from completed, ongoing, or planned trials, or the loss of other proprietary data, could result in delays in our regulatory approval efforts and significantly increase our costs to recover or reproduce the data. We are aware that a third party accessed the computer systems of one of our contractors and while we believe that such access did not result in loss of our proprietary data or disrupt our operations, we or our contractors may be subject to attacks in the future that could harm our business. Likewise, we currently rely on third parties for the manufacture of our product candidates and to conduct clinical trials, and similar events relating to their computer systems could also have a material adverse effect on our business. To the extent that any disruption were to result in a loss of or damage to our data or applications, or inappropriate disclosure of personal, confidential or proprietary information, we could incur liability, and the development of our product candidates could be delayed.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or confidential information may be lost, or we may suffer security breaches.</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U.S. federal and various state and foreign governments have enacted or proposed requirements regarding the collection, distribution, use, security and storage of personally identifiable information and other data relating to individuals. In the ordinary course of our business, we and third parties with which we have relationships will continue to collect and store sensitive data, including clinical trial data, proprietary business information, personal data and personally identifiable information of our clinical trial subjects and employees, in data centers and on networks. The secure processing, maintenance and transmission of this information is critical to our operations. Despite our and our collaborators’ security measures, our information technology and infrastructure may be vulnerable to attacks by hackers or internal bad actors, breaches due to employee error, technical vulnerabilities, malfeasance, or other disruptions.</w:t>
      </w:r>
    </w:p>
    <w:p>
      <w:pPr>
        <w:spacing w:after="0" w:line="21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Several proposed and enacted federal, state and international laws and regulations obligate companies to notify individuals of security breaches involving personally identifiable information, which could result from breaches experienced by us or by third parties, including collaborators, vendors, contractors, or other organizations with which we have formed strategic relationships. Although, to our knowledge, neither we nor any such third parties have experienced any material security breach, and even though we may have contractual protections with such third parties, any such breach could compromise our or their networks and the information stored therein could be accessed, publicly disclosed, lost or stolen. Any such access, disclosure, notifications, follow-up actions related to such a security breach or other loss of information could result in legal claims or proceedings, liability under laws that protect the privacy of personal information, and significant costs, including regulatory penalties, fines, and legal expenses, and such an event could disrupt our operations, cause us to incur remediation costs, damage our reputation, and cause a loss of confidence in us and our or such third parties’ ability to conduct clinical trials, which could adversely affect our reputation and delay the clinical development of our product candidates.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If a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25"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Shares of our common stock were offered in our IPO in July 2021 at a price of $104.00 per share and between the date of our IPO and October 20, 2026, the closing price per share of our common stock has ranged from as low as $2.00 to as high as $187.20. Some of the factors that may cause the market price of our common stock to fluctuate include:</w:t>
      </w:r>
    </w:p>
    <w:p>
      <w:pPr>
        <w:spacing w:after="0" w:line="205"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existing or new competitive product candidates or technologies;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results of preclinical studies for any product candidates that we may develop;</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failure or discontinuation of any of our product development and research programs;</w:t>
      </w:r>
    </w:p>
    <w:p>
      <w:pPr>
        <w:spacing w:after="0" w:line="251"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6"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commencement or termination of collaborations for our product development and research programs;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personnel;</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any of our research programs or product candidates that we may develop;</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 or expectation of additional financing efforts;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our insiders or other stockholders;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expiration of market stand-off or lock-up agreement;</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effects of public health crises, pandemics and epidemics;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and</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factors described in this “Risk Factors” section and elsewhere in this Quarterly Report on Form 10-Q.</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If securities analysts stop publishing research or reports about our business or if they publish negative evaluations of our stock, the price of our stock could decline.</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trading market for our common stock is influenced in part on the research and reports that industry or financial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one or more of the analysts covering our business downgrade their evaluations of our stock, the price of our stock could decline.</w:t>
      </w:r>
    </w:p>
    <w:p>
      <w:pPr>
        <w:spacing w:after="0" w:line="211"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market, which could cause the market price of our common stock to decline significantly, even if our business is doing well.</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October 20, 2026, we have 5,383,937 shares of common stock outstanding. All of these shares may be resold in the public market immediately, unless held by our affiliates who are subject to volume limitations under Rule 144. As of October 20, 2026, we also have pre-funded warrants to purchase up to an aggregate of 416,673 shares of common stock outstanding. We may not effect the exercise of any pre-funded warrant, and a holder will not be entitled to exercise any portion of any pre-funded warrant if, upon giving effect to such exercise, the aggregate number of shares of common stock beneficially owned by the holder (together with its affiliates) would exceed 9.99% of the number of shares of common stock outstanding immediately after giving effect to the exercise, which percentage may be increased or decreased at the holder’s election upon 61 days’ notice to us subject to the terms of such pre-funded warrants, provided that such percentage may in no event exceed 19.99%.</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Moreover, as of September 30, 2026, certain holders of our common stock have rights, subject to conditions, to require us to file registration statements covering their shares or to include their shares in registration statements that we may file for ourselves or other stockholders. On May 9, 2023, we registered an aggregate of 1,543,950 shares of common stock held by holders with registration rights, for resale, pursuant to a registration statement on Form S-3. In addition, we have entered into the Sales Agreement with TD Cowen to offer and sell shares of our common stock having an aggregate offering price of up to $100,000,000, from time to time, through an at-the-market offering program. We also registered an aggregate of 1,737,094 shares of common stock that we may issue under our equity compensation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21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Insiders have substantial influence over us, which could limit your ability to affect the outcome of key transactions, including a change of control.</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directors and executive officers and their affiliates beneficially own shares representing approximately 25% of our outstanding common stock as of October 20, 2026. As a result, these stockholders, if they act together, will be able to influence our management and affairs and all matters requiring stockholder approval, including the election of directors and approval of significant corporate transactions. The interests of these holders may not always coincide with our corporate interests or the interests of other stockholders, and they may act in a manner with which you may not agree or that may not be in the best interests of our other stockholders. This concentration of ownership may have the effect of delaying or preventing a change in control of our company and might affect the market price of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the past, securities class action litigation has often been brought against companies following a decline in the market price of their securities. This risk is especially relevant for us because biotechnology and pharmaceutical companies have experienced significant share price volatility in recent years.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0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in the foreseeable future. As a result, capital appreciation, if any, of our common stock will be your sole source of gain on an investment in our common stock in the foreseeable future.</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an “emerging growth company,” as defined in the JOBS Act and we may remain an EGC until December 31, 2026.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1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financial statements may not be directly comparable to those of other public companies.</w:t>
      </w:r>
    </w:p>
    <w:p>
      <w:pPr>
        <w:spacing w:after="0" w:line="21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our amended and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amended and restated certificate of incorporation and bylaws include provisions that:</w:t>
      </w:r>
    </w:p>
    <w:p>
      <w:pPr>
        <w:spacing w:after="0" w:line="209" w:lineRule="exact"/>
        <w:rPr>
          <w:sz w:val="20"/>
          <w:szCs w:val="20"/>
          <w:color w:val="auto"/>
        </w:rPr>
      </w:pPr>
    </w:p>
    <w:p>
      <w:pPr>
        <w:ind w:left="660" w:right="520" w:hanging="328"/>
        <w:spacing w:after="0" w:line="286" w:lineRule="auto"/>
        <w:tabs>
          <w:tab w:leader="none" w:pos="656"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specify that special meetings of our stockholders can be called only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prohibit stockholder action by written consent;</w:t>
      </w:r>
    </w:p>
    <w:p>
      <w:pPr>
        <w:spacing w:after="0" w:line="251" w:lineRule="exact"/>
        <w:rPr>
          <w:rFonts w:ascii="Times New Roman" w:cs="Times New Roman" w:eastAsia="Times New Roman" w:hAnsi="Times New Roman"/>
          <w:sz w:val="18"/>
          <w:szCs w:val="18"/>
          <w:color w:val="auto"/>
        </w:rPr>
      </w:pPr>
    </w:p>
    <w:p>
      <w:pPr>
        <w:ind w:left="660" w:right="600" w:hanging="328"/>
        <w:spacing w:after="0" w:line="286" w:lineRule="auto"/>
        <w:tabs>
          <w:tab w:leader="none" w:pos="656"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80" w:lineRule="exact"/>
        <w:rPr>
          <w:rFonts w:ascii="Times New Roman" w:cs="Times New Roman" w:eastAsia="Times New Roman" w:hAnsi="Times New Roman"/>
          <w:sz w:val="18"/>
          <w:szCs w:val="18"/>
          <w:color w:val="auto"/>
        </w:rPr>
      </w:pPr>
    </w:p>
    <w:p>
      <w:pPr>
        <w:ind w:left="660" w:right="240" w:hanging="328"/>
        <w:spacing w:after="0" w:line="286" w:lineRule="auto"/>
        <w:tabs>
          <w:tab w:leader="none" w:pos="656"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our directors may be removed only for cause;</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expressly authorize our board of directors to modify, alter or repeal our amended and restated bylaws; and</w:t>
      </w:r>
    </w:p>
    <w:p>
      <w:pPr>
        <w:spacing w:after="0" w:line="251" w:lineRule="exact"/>
        <w:rPr>
          <w:rFonts w:ascii="Times New Roman" w:cs="Times New Roman" w:eastAsia="Times New Roman" w:hAnsi="Times New Roman"/>
          <w:sz w:val="18"/>
          <w:szCs w:val="18"/>
          <w:color w:val="auto"/>
        </w:rPr>
      </w:pPr>
    </w:p>
    <w:p>
      <w:pPr>
        <w:ind w:left="660" w:right="760" w:hanging="328"/>
        <w:spacing w:after="0" w:line="286" w:lineRule="auto"/>
        <w:tabs>
          <w:tab w:leader="none" w:pos="656"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require supermajority votes of the holders of our common stock to amend specified provisions of our amended and restated certificate of incorporation and amended and restated bylaws.</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p>
    <w:p>
      <w:pPr>
        <w:spacing w:after="0" w:line="19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addition, because we are incorporated in the State of Delaware, we are governed by the provisions of Section 203 of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03"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within the State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amended and restated certificate of incorporation provides that, subject to limited exceptions, the state or federal courts (as appropriate) within the State of Delaware are exclusive forums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or our amended and restated bylaws, (4) action against us or any of our directors or officers involving a claim or defense arising pursuant to the Exchange Act or the Securities Act, or (5)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exclusive forum provision does not apply to claims which are vested in the exclusive jurisdiction of a court or forum other than the Court of Chancery of the State of Delaware, or for which the Court of Chancery of the State of Delaware does not have subject matter jurisdiction. For instance, the provision does not apply to actions arising under federal securities laws, including suits brought to enforce any liability or duty created by the Exchange Act or the rules and regulations thereunder.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business and financial condition.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internationally could materially adversely affect our business.</w:t>
      </w:r>
    </w:p>
    <w:p>
      <w:pPr>
        <w:spacing w:after="0" w:line="2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Our business strategy includes potentially expanding internationally. Doing business internationally involves several risks, including, but not limited to:</w:t>
      </w:r>
    </w:p>
    <w:p>
      <w:pPr>
        <w:spacing w:after="0" w:line="198" w:lineRule="exact"/>
        <w:rPr>
          <w:sz w:val="20"/>
          <w:szCs w:val="20"/>
          <w:color w:val="auto"/>
        </w:rPr>
      </w:pPr>
    </w:p>
    <w:p>
      <w:pPr>
        <w:ind w:left="660" w:right="260" w:hanging="328"/>
        <w:spacing w:after="0" w:line="268" w:lineRule="auto"/>
        <w:tabs>
          <w:tab w:leader="none" w:pos="656"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economic sanctions laws and regulations, employment laws, regulatory requirements, and other governmental approvals, permits, and licenses;</w:t>
      </w:r>
    </w:p>
    <w:p>
      <w:pPr>
        <w:spacing w:after="0" w:line="1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potentially relevant third-party patent rights;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complexities and difficulties in obtaining protection and enforcing our intellectual property;</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staffing and managing foreign operations;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limits in our ability to penetrate international markets;</w:t>
      </w:r>
    </w:p>
    <w:p>
      <w:pPr>
        <w:spacing w:after="0" w:line="251" w:lineRule="exact"/>
        <w:rPr>
          <w:rFonts w:ascii="Times New Roman" w:cs="Times New Roman" w:eastAsia="Times New Roman" w:hAnsi="Times New Roman"/>
          <w:sz w:val="18"/>
          <w:szCs w:val="18"/>
          <w:color w:val="auto"/>
        </w:rPr>
      </w:pPr>
    </w:p>
    <w:p>
      <w:pPr>
        <w:ind w:left="660" w:right="460" w:hanging="328"/>
        <w:spacing w:after="0" w:line="286" w:lineRule="auto"/>
        <w:tabs>
          <w:tab w:leader="none" w:pos="656"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80" w:lineRule="exact"/>
        <w:rPr>
          <w:rFonts w:ascii="Times New Roman" w:cs="Times New Roman" w:eastAsia="Times New Roman" w:hAnsi="Times New Roman"/>
          <w:sz w:val="18"/>
          <w:szCs w:val="18"/>
          <w:color w:val="auto"/>
        </w:rPr>
      </w:pPr>
    </w:p>
    <w:p>
      <w:pPr>
        <w:ind w:left="660" w:right="540" w:hanging="328"/>
        <w:spacing w:after="0" w:line="286" w:lineRule="auto"/>
        <w:tabs>
          <w:tab w:leader="none" w:pos="656"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tariffs, curtailment of trade, and other business restrictions;</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251" w:lineRule="exact"/>
        <w:rPr>
          <w:rFonts w:ascii="Times New Roman" w:cs="Times New Roman" w:eastAsia="Times New Roman" w:hAnsi="Times New Roman"/>
          <w:sz w:val="18"/>
          <w:szCs w:val="18"/>
          <w:color w:val="auto"/>
        </w:rPr>
      </w:pPr>
    </w:p>
    <w:p>
      <w:pPr>
        <w:ind w:left="660" w:right="240" w:hanging="328"/>
        <w:spacing w:after="0" w:line="268" w:lineRule="auto"/>
        <w:tabs>
          <w:tab w:leader="none" w:pos="656"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FCPA its books and records provisions, or its anti-bribery provisions, as well as other applicable laws and regulations prohibiting bribery and corruption.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Any of these factors could significantly harm any future international expansion and operations and, consequently, our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adversely affect our business and financial condition.</w:t>
      </w:r>
    </w:p>
    <w:p>
      <w:pPr>
        <w:spacing w:after="0" w:line="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rules dealing with U.S. federal, state, and local income taxation are constantly under review through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For example, the Tax Cuts and Jobs Act, (the "TCJA"), was enacted in 2017 and significantly reformed the Code. The TCJA, among other things, contains significant changes to corporate and individual taxation, some of which could adversely impact an investment in our common stock. On March 27, 2020, President Trump signed into law the Coronavirus Aid, Relief, and Economic Security Act (the "CARES Act"), which included certain changes in tax law intended to stimulate the U.S. economy in light of the COVID-19 pandemic,</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including temporary beneficial changes to the treatment of NOLs, interest deductibility limitations and payroll tax matters. There also may be technical corrections legislation or other legislative changes proposed with respect to the TCJA and CARES Act, the effects of which cannot be predicted and may be adverse to us or our stockholders. Additionally, the IRA was enacted in August 2022.</w:t>
      </w:r>
    </w:p>
    <w:p>
      <w:pPr>
        <w:spacing w:after="0" w:line="1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Among other things, the IRA implemented a one percent (1%) excise tax on certain repurchases (including redemptions) of stock by publicly traded domestic corporations, and a corporate alternative minimum tax of fifteen percent (15%) on book income of certain large corporations. Future changes in tax laws could have a material adverse effect on our business, cash flows, financial condition or results of operations. In particular, proposed tax legislation could result in significant changes in, and uncertainty with respect to, tax legislation, regulation and government policy directly affecting our business or indirectly affecting us because of impacts on our customers and suppliers. We urge investors to consult with their legal and tax advisers regarding the implications of potential changes in tax laws on an investment in our common stock.</w:t>
      </w:r>
    </w:p>
    <w:p>
      <w:pPr>
        <w:spacing w:after="0" w:line="210"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H.R. 1, also known as the One Big Beautiful Bill Act (the "OBBBA"), was enacted on July 4, 2025. The legislation includes several provisions that may impact the timing and magnitude of certain tax deductions. Key provisions include the permanent extension of several business tax benefits originally introduced under the TCJA.</w:t>
      </w:r>
    </w:p>
    <w:p>
      <w:pPr>
        <w:spacing w:after="0" w:line="200" w:lineRule="exact"/>
        <w:rPr>
          <w:sz w:val="20"/>
          <w:szCs w:val="20"/>
          <w:color w:val="auto"/>
        </w:rPr>
      </w:pPr>
    </w:p>
    <w:p>
      <w:pPr>
        <w:ind w:right="340"/>
        <w:spacing w:after="0" w:line="251" w:lineRule="auto"/>
        <w:rPr>
          <w:sz w:val="20"/>
          <w:szCs w:val="20"/>
          <w:color w:val="auto"/>
        </w:rPr>
      </w:pPr>
      <w:r>
        <w:rPr>
          <w:rFonts w:ascii="Arial" w:cs="Arial" w:eastAsia="Arial" w:hAnsi="Arial"/>
          <w:sz w:val="18"/>
          <w:szCs w:val="18"/>
          <w:b w:val="1"/>
          <w:bCs w:val="1"/>
          <w:i w:val="1"/>
          <w:iCs w:val="1"/>
          <w:color w:val="auto"/>
        </w:rPr>
        <w:t>Potential clinical trial or product liability lawsuits against us could cause us to incur substantial liabilities and, if we continue to progress the development of our product candidates, could limit commercialization of any products that we may develop.</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we continue to progress the development of our product candidates, the use of any product candidates we may develop in clinical trials and the sale of any products for which we obtain marketing approval exposes us to the risk of clinical trial and product liability claims. Clinical trial or product liability claims might be brought against us by patients, healthcare providers, pharmaceutical companies or others selling or otherwise coming into contact with our products. On occasion, large judgments have been awarded in class action lawsuits based on drugs that had unanticipated adverse effects. If we cannot successfully defend against product liability claims, we could incur substantial liability and costs. In addition, regardless of merit or eventual outcome, clinical trial or product liability claims may result in:</w:t>
      </w:r>
    </w:p>
    <w:p>
      <w:pPr>
        <w:spacing w:after="0" w:line="222"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impairment of our business reputation and significant negative media attention;</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participants from our clinical trials;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costs to defend the litigation;</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distraction of management’s attention from our primary business;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patients or other claimants;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inability to commercialize a product candidate;</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market demand for any product; and</w:t>
      </w:r>
    </w:p>
    <w:p>
      <w:pPr>
        <w:spacing w:after="0" w:line="2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25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clinical trial and product liability insurance we currently carry, and any additional clinical trial and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we obtain marketing approval for any product candidate, we intend to acquire insurance coverage to include the sale of commercial products; however, we may be unable to obtain product liability insurance on commercially reasonable terms or in adequate amounts. A successful clinical trial or product liability claim, or series of claims, brought against us could cause our share price to decline and, if judgments exceed our insurance coverage, could adversely affect our results of operation and business, including preventing or limiting the commercialization of any product candidates we develop.</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b w:val="1"/>
          <w:bCs w:val="1"/>
          <w:i w:val="1"/>
          <w:iCs w:val="1"/>
          <w:color w:val="auto"/>
        </w:rPr>
        <w:t>Unfavorable global economic conditions and geopolitical instability could adversely affect our business, financial condition or results of operations.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including changes in tariffs and other trade restrictions. A severe or prolonged economic downturn, period of sustained increased inflation, tariffs and other trade restrictions or additional global financial crises, could result in a variety of risks to our business, including weakened demand for our product candidates, if approved, or our ability to raise additional capital when needed on acceptable terms, if at all. For example, the global financial crisis caused extreme volatility and disruptions in the capital and credit markets. Further, geopolitical instability outside the United States may also impact our operations or affect global markets, such as the invasion of Ukraine by Russia and the Israel-Hamas war. While we do not currently conduct clinical trials in Ukraine, Russia, or the Middle East, we cannot be certain what the overall impact of these events will be on our business or on the business of any of our third-party partners, including our contract research organizations, contract manufacturers or other partners. The impact of these events could also expand into other markets where we do business. A weak or declining economy could strain our suppliers, possibly resulting in supply disruption. Any of the foregoing could harm our business and we cannot anticipate all of the ways in which current geopolitical tensions, the economic climate and the financial market conditions could adversely impact our business.</w:t>
      </w:r>
    </w:p>
    <w:p>
      <w:pPr>
        <w:spacing w:after="0" w:line="2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We have incurred, and will incur increased costs as a result of operating as a public company, and our management will continue to be required to devote substantial time to new compliance initiatives and corporate governance practices.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a public company, we have incurred,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Pursuant to SOX Section 404, we are required to furnish a report by our management on our internal control over financial reporting with our Annual Report on Form 10-K with the SEC. However, while we remain an emerging growth company, we will not be required to include an attestation report on internal control over financial reporting issued by our independent registered public accounting firm. To achieve compliance with SOX Section 404,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Except as disclosed in our previously filed current reports on Form 8-K, the Company has not issued equity securities of the Company on an unregistered basis during the quarter ended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Trading Arrangements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quarter ended September 30, 2026, none of our directors or officers (as defined in Rule 16a-1(f) under the Exchange Act, as amended) entered into, modified (as to amount, price or timing of trades) or terminated (i) contracts, instructions or written plans for the purchase or sale of our securities that are intended to satisfy the conditions specified in Rule 10b5-1(c) under the Exchange Act for an affirmative defense against liability for trading in securities on the basis of material nonpublic information or (ii) non-Rule 10b5-1 trading arrangements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12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5"/>
        </w:trPr>
        <w:tc>
          <w:tcPr>
            <w:tcW w:w="1240" w:type="dxa"/>
            <w:vAlign w:val="bottom"/>
          </w:tcPr>
          <w:p>
            <w:pPr>
              <w:ind w:left="300"/>
              <w:spacing w:after="0"/>
              <w:rPr>
                <w:sz w:val="20"/>
                <w:szCs w:val="20"/>
                <w:color w:val="auto"/>
              </w:rPr>
            </w:pPr>
            <w:r>
              <w:rPr>
                <w:rFonts w:ascii="Arial" w:cs="Arial" w:eastAsia="Arial" w:hAnsi="Arial"/>
                <w:sz w:val="14"/>
                <w:szCs w:val="14"/>
                <w:b w:val="1"/>
                <w:bCs w:val="1"/>
                <w:color w:val="auto"/>
              </w:rPr>
              <w:t>Number</w:t>
            </w:r>
          </w:p>
        </w:tc>
        <w:tc>
          <w:tcPr>
            <w:tcW w:w="2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4680" w:type="dxa"/>
            <w:vAlign w:val="bottom"/>
            <w:tcBorders>
              <w:bottom w:val="single" w:sz="8" w:color="auto"/>
            </w:tcBorders>
            <w:gridSpan w:val="11"/>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8480" w:type="dxa"/>
            <w:vAlign w:val="bottom"/>
            <w:gridSpan w:val="12"/>
          </w:tcPr>
          <w:p>
            <w:pPr>
              <w:spacing w:after="0"/>
              <w:rPr>
                <w:rFonts w:ascii="Arial" w:cs="Arial" w:eastAsia="Arial" w:hAnsi="Arial"/>
                <w:sz w:val="18"/>
                <w:szCs w:val="18"/>
                <w:color w:val="0000FF"/>
              </w:rPr>
            </w:pPr>
            <w:hyperlink r:id="rId113">
              <w:r>
                <w:rPr>
                  <w:rFonts w:ascii="Arial" w:cs="Arial" w:eastAsia="Arial" w:hAnsi="Arial"/>
                  <w:sz w:val="18"/>
                  <w:szCs w:val="18"/>
                  <w:color w:val="0000FF"/>
                </w:rPr>
                <w:t>Agreement and Plan of Merger and Reorganization among Rallybio Corporation, Farmington Merger Sub,</w:t>
              </w:r>
            </w:hyperlink>
          </w:p>
        </w:tc>
      </w:tr>
      <w:tr>
        <w:trPr>
          <w:trHeight w:val="196"/>
        </w:trPr>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113">
              <w:r>
                <w:rPr>
                  <w:rFonts w:ascii="Arial" w:cs="Arial" w:eastAsia="Arial" w:hAnsi="Arial"/>
                  <w:sz w:val="18"/>
                  <w:szCs w:val="18"/>
                  <w:color w:val="0000FF"/>
                </w:rPr>
                <w:t>Inc. and Avenzo Therapeutics, Inc., dated as of May 31, 2026 (incorporated by reference to Exhibit 2.1 to</w:t>
              </w:r>
            </w:hyperlink>
          </w:p>
        </w:tc>
        <w:tc>
          <w:tcPr>
            <w:tcW w:w="80" w:type="dxa"/>
            <w:vAlign w:val="bottom"/>
            <w:gridSpan w:val="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4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113">
              <w:r>
                <w:rPr>
                  <w:rFonts w:ascii="Arial" w:cs="Arial" w:eastAsia="Arial" w:hAnsi="Arial"/>
                  <w:sz w:val="18"/>
                  <w:szCs w:val="18"/>
                  <w:color w:val="0000FF"/>
                </w:rPr>
                <w:t>the Company's Current Report on Form 8-K (File No. 001-40693), filed with the SEC on June 1, 2026)</w:t>
              </w:r>
            </w:hyperlink>
          </w:p>
        </w:tc>
        <w:tc>
          <w:tcPr>
            <w:tcW w:w="140" w:type="dxa"/>
            <w:vAlign w:val="bottom"/>
            <w:gridSpan w:val="5"/>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2"/>
                <w:szCs w:val="22"/>
                <w:color w:val="auto"/>
              </w:rPr>
            </w:pPr>
          </w:p>
        </w:tc>
        <w:tc>
          <w:tcPr>
            <w:tcW w:w="8420" w:type="dxa"/>
            <w:vAlign w:val="bottom"/>
            <w:tcBorders>
              <w:bottom w:val="single" w:sz="8" w:color="0000FF"/>
            </w:tcBorders>
            <w:gridSpan w:val="10"/>
          </w:tcPr>
          <w:p>
            <w:pPr>
              <w:spacing w:after="0"/>
              <w:rPr>
                <w:rFonts w:ascii="Arial" w:cs="Arial" w:eastAsia="Arial" w:hAnsi="Arial"/>
                <w:sz w:val="18"/>
                <w:szCs w:val="18"/>
                <w:color w:val="0000FF"/>
                <w:w w:val="99"/>
              </w:rPr>
            </w:pPr>
            <w:r>
              <w:rPr>
                <w:rFonts w:ascii="Arial" w:cs="Arial" w:eastAsia="Arial" w:hAnsi="Arial"/>
                <w:sz w:val="18"/>
                <w:szCs w:val="18"/>
                <w:color w:val="0000FF"/>
                <w:w w:val="99"/>
              </w:rPr>
              <w:t xml:space="preserve">Side </w:t>
            </w:r>
            <w:hyperlink r:id="rId114">
              <w:r>
                <w:rPr>
                  <w:rFonts w:ascii="Arial" w:cs="Arial" w:eastAsia="Arial" w:hAnsi="Arial"/>
                  <w:sz w:val="18"/>
                  <w:szCs w:val="18"/>
                  <w:color w:val="0000FF"/>
                  <w:w w:val="99"/>
                </w:rPr>
                <w:t xml:space="preserve">Letter to Employment Agreement, by and </w:t>
              </w:r>
            </w:hyperlink>
            <w:r>
              <w:rPr>
                <w:rFonts w:ascii="Arial" w:cs="Arial" w:eastAsia="Arial" w:hAnsi="Arial"/>
                <w:sz w:val="18"/>
                <w:szCs w:val="18"/>
                <w:color w:val="0000FF"/>
                <w:w w:val="99"/>
              </w:rPr>
              <w:t xml:space="preserve">between </w:t>
            </w:r>
            <w:hyperlink r:id="rId114">
              <w:r>
                <w:rPr>
                  <w:rFonts w:ascii="Arial" w:cs="Arial" w:eastAsia="Arial" w:hAnsi="Arial"/>
                  <w:sz w:val="18"/>
                  <w:szCs w:val="18"/>
                  <w:color w:val="0000FF"/>
                  <w:w w:val="99"/>
                </w:rPr>
                <w:t xml:space="preserve">Rallybio </w:t>
              </w:r>
            </w:hyperlink>
            <w:r>
              <w:rPr>
                <w:rFonts w:ascii="Arial" w:cs="Arial" w:eastAsia="Arial" w:hAnsi="Arial"/>
                <w:sz w:val="18"/>
                <w:szCs w:val="18"/>
                <w:color w:val="0000FF"/>
                <w:w w:val="99"/>
              </w:rPr>
              <w:t xml:space="preserve">Corporation, Rallybio, </w:t>
            </w:r>
            <w:hyperlink r:id="rId114">
              <w:r>
                <w:rPr>
                  <w:rFonts w:ascii="Arial" w:cs="Arial" w:eastAsia="Arial" w:hAnsi="Arial"/>
                  <w:sz w:val="18"/>
                  <w:szCs w:val="18"/>
                  <w:color w:val="0000FF"/>
                  <w:w w:val="99"/>
                </w:rPr>
                <w:t>LLC and Jonathan</w:t>
              </w:r>
            </w:hyperlink>
          </w:p>
        </w:tc>
        <w:tc>
          <w:tcPr>
            <w:tcW w:w="60" w:type="dxa"/>
            <w:vAlign w:val="bottom"/>
            <w:gridSpan w:val="2"/>
          </w:tcPr>
          <w:p>
            <w:pPr>
              <w:spacing w:after="0"/>
              <w:rPr>
                <w:sz w:val="22"/>
                <w:szCs w:val="22"/>
                <w:color w:val="auto"/>
              </w:rPr>
            </w:pPr>
          </w:p>
        </w:tc>
      </w:tr>
      <w:tr>
        <w:trPr>
          <w:trHeight w:val="196"/>
        </w:trPr>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80" w:type="dxa"/>
            <w:vAlign w:val="bottom"/>
            <w:gridSpan w:val="12"/>
          </w:tcPr>
          <w:p>
            <w:pPr>
              <w:spacing w:after="0" w:line="196" w:lineRule="exact"/>
              <w:rPr>
                <w:rFonts w:ascii="Arial" w:cs="Arial" w:eastAsia="Arial" w:hAnsi="Arial"/>
                <w:sz w:val="18"/>
                <w:szCs w:val="18"/>
                <w:color w:val="0000FF"/>
              </w:rPr>
            </w:pPr>
            <w:hyperlink r:id="rId114">
              <w:r>
                <w:rPr>
                  <w:rFonts w:ascii="Arial" w:cs="Arial" w:eastAsia="Arial" w:hAnsi="Arial"/>
                  <w:sz w:val="18"/>
                  <w:szCs w:val="18"/>
                  <w:color w:val="0000FF"/>
                </w:rPr>
                <w:t>Lieber, dated September 8, 2026 (incorporated by reference to Exhibit 10.1 to the Company's Current</w:t>
              </w:r>
            </w:hyperlink>
          </w:p>
        </w:tc>
      </w:tr>
      <w:tr>
        <w:trPr>
          <w:trHeight w:val="196"/>
        </w:trPr>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0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r:id="rId114">
              <w:r>
                <w:rPr>
                  <w:rFonts w:ascii="Arial" w:cs="Arial" w:eastAsia="Arial" w:hAnsi="Arial"/>
                  <w:sz w:val="18"/>
                  <w:szCs w:val="18"/>
                  <w:color w:val="0000FF"/>
                </w:rPr>
                <w:t>Report on Form 8-K (File No. 001-40693), filed with the SEC on June 9, 2026)</w:t>
              </w:r>
              <w:r>
                <w:rPr>
                  <w:rFonts w:ascii="Arial" w:cs="Arial" w:eastAsia="Arial" w:hAnsi="Arial"/>
                  <w:sz w:val="18"/>
                  <w:szCs w:val="18"/>
                  <w:u w:val="single" w:color="auto"/>
                  <w:color w:val="0000FF"/>
                </w:rPr>
                <w:t>.</w:t>
              </w:r>
            </w:hyperlink>
          </w:p>
        </w:tc>
        <w:tc>
          <w:tcPr>
            <w:tcW w:w="380" w:type="dxa"/>
            <w:vAlign w:val="bottom"/>
            <w:gridSpan w:val="8"/>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2"/>
                <w:szCs w:val="22"/>
                <w:color w:val="auto"/>
              </w:rPr>
            </w:pPr>
          </w:p>
        </w:tc>
        <w:tc>
          <w:tcPr>
            <w:tcW w:w="84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Certification of Principal Executive Officer Pursuant to Rules 13a-14(a) and 15d-14(a) under the Securities</w:t>
            </w:r>
          </w:p>
        </w:tc>
        <w:tc>
          <w:tcPr>
            <w:tcW w:w="40" w:type="dxa"/>
            <w:vAlign w:val="bottom"/>
          </w:tcPr>
          <w:p>
            <w:pPr>
              <w:spacing w:after="0"/>
              <w:rPr>
                <w:sz w:val="22"/>
                <w:szCs w:val="22"/>
                <w:color w:val="auto"/>
              </w:rPr>
            </w:pPr>
          </w:p>
        </w:tc>
      </w:tr>
      <w:tr>
        <w:trPr>
          <w:trHeight w:val="196"/>
        </w:trPr>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9"/>
              </w:rPr>
              <w:t>Exchange Act of 1934, as Adopted Pursuant to Section 302 of the Sarbanes-Oxley Act of 2002.</w:t>
            </w:r>
          </w:p>
        </w:tc>
        <w:tc>
          <w:tcPr>
            <w:tcW w:w="880" w:type="dxa"/>
            <w:vAlign w:val="bottom"/>
            <w:gridSpan w:val="9"/>
          </w:tcPr>
          <w:p>
            <w:pPr>
              <w:spacing w:after="0"/>
              <w:rPr>
                <w:sz w:val="17"/>
                <w:szCs w:val="17"/>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2"/>
                <w:szCs w:val="22"/>
                <w:color w:val="auto"/>
              </w:rPr>
            </w:pPr>
          </w:p>
        </w:tc>
        <w:tc>
          <w:tcPr>
            <w:tcW w:w="83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Certification of Principal Financial Officer Pursuant to Rules 13a-14(a) and 15d-14(a) under the Securities</w:t>
            </w:r>
          </w:p>
        </w:tc>
        <w:tc>
          <w:tcPr>
            <w:tcW w:w="100" w:type="dxa"/>
            <w:vAlign w:val="bottom"/>
            <w:gridSpan w:val="4"/>
          </w:tcPr>
          <w:p>
            <w:pPr>
              <w:spacing w:after="0"/>
              <w:rPr>
                <w:sz w:val="22"/>
                <w:szCs w:val="22"/>
                <w:color w:val="auto"/>
              </w:rPr>
            </w:pPr>
          </w:p>
        </w:tc>
      </w:tr>
      <w:tr>
        <w:trPr>
          <w:trHeight w:val="196"/>
        </w:trPr>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9"/>
              </w:rPr>
              <w:t>Exchange Act of 1934, as Adopted Pursuant to Section 302 of the Sarbanes-Oxley Act of 2002.</w:t>
            </w:r>
          </w:p>
        </w:tc>
        <w:tc>
          <w:tcPr>
            <w:tcW w:w="880" w:type="dxa"/>
            <w:vAlign w:val="bottom"/>
            <w:gridSpan w:val="9"/>
          </w:tcPr>
          <w:p>
            <w:pPr>
              <w:spacing w:after="0"/>
              <w:rPr>
                <w:sz w:val="17"/>
                <w:szCs w:val="17"/>
                <w:color w:val="auto"/>
              </w:rPr>
            </w:pP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2"/>
                <w:szCs w:val="22"/>
                <w:color w:val="auto"/>
              </w:rPr>
            </w:pPr>
          </w:p>
        </w:tc>
        <w:tc>
          <w:tcPr>
            <w:tcW w:w="81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Certification of Principal Executive Officer Pursuant to 18 U.S.C. Section 1350, as Adopted Pursuant to</w:t>
            </w:r>
          </w:p>
        </w:tc>
        <w:tc>
          <w:tcPr>
            <w:tcW w:w="300" w:type="dxa"/>
            <w:vAlign w:val="bottom"/>
            <w:gridSpan w:val="6"/>
          </w:tcPr>
          <w:p>
            <w:pPr>
              <w:spacing w:after="0"/>
              <w:rPr>
                <w:sz w:val="22"/>
                <w:szCs w:val="22"/>
                <w:color w:val="auto"/>
              </w:rPr>
            </w:pPr>
          </w:p>
        </w:tc>
      </w:tr>
      <w:tr>
        <w:trPr>
          <w:trHeight w:val="196"/>
        </w:trPr>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80" w:type="dxa"/>
            <w:vAlign w:val="bottom"/>
            <w:gridSpan w:val="12"/>
          </w:tcPr>
          <w:p>
            <w:pPr>
              <w:spacing w:after="0" w:line="196" w:lineRule="exact"/>
              <w:rPr>
                <w:sz w:val="20"/>
                <w:szCs w:val="20"/>
                <w:color w:val="auto"/>
              </w:rPr>
            </w:pPr>
            <w:r>
              <w:rPr>
                <w:rFonts w:ascii="Arial" w:cs="Arial" w:eastAsia="Arial" w:hAnsi="Arial"/>
                <w:sz w:val="18"/>
                <w:szCs w:val="18"/>
                <w:color w:val="0000FF"/>
              </w:rPr>
              <w:t>Section 906 of the Sarbanes-Oxley Act of 2002.</w:t>
            </w: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r>
      <w:tr>
        <w:trPr>
          <w:trHeight w:val="263"/>
        </w:trPr>
        <w:tc>
          <w:tcPr>
            <w:tcW w:w="1240" w:type="dxa"/>
            <w:vAlign w:val="bottom"/>
          </w:tcPr>
          <w:p>
            <w:pPr>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2"/>
                <w:szCs w:val="22"/>
                <w:color w:val="auto"/>
              </w:rPr>
            </w:pPr>
          </w:p>
        </w:tc>
        <w:tc>
          <w:tcPr>
            <w:tcW w:w="81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Certification of Principal Financial Officer Pursuant to 18 U.S.C. Section 1350, as Adopted Pursuant to</w:t>
            </w:r>
          </w:p>
        </w:tc>
        <w:tc>
          <w:tcPr>
            <w:tcW w:w="360" w:type="dxa"/>
            <w:vAlign w:val="bottom"/>
            <w:gridSpan w:val="7"/>
          </w:tcPr>
          <w:p>
            <w:pPr>
              <w:spacing w:after="0"/>
              <w:rPr>
                <w:sz w:val="22"/>
                <w:szCs w:val="22"/>
                <w:color w:val="auto"/>
              </w:rPr>
            </w:pPr>
          </w:p>
        </w:tc>
      </w:tr>
      <w:tr>
        <w:trPr>
          <w:trHeight w:val="196"/>
        </w:trPr>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80" w:type="dxa"/>
            <w:vAlign w:val="bottom"/>
            <w:gridSpan w:val="12"/>
          </w:tcPr>
          <w:p>
            <w:pPr>
              <w:spacing w:after="0" w:line="196" w:lineRule="exact"/>
              <w:rPr>
                <w:sz w:val="20"/>
                <w:szCs w:val="20"/>
                <w:color w:val="auto"/>
              </w:rPr>
            </w:pPr>
            <w:r>
              <w:rPr>
                <w:rFonts w:ascii="Arial" w:cs="Arial" w:eastAsia="Arial" w:hAnsi="Arial"/>
                <w:sz w:val="18"/>
                <w:szCs w:val="18"/>
                <w:color w:val="0000FF"/>
              </w:rPr>
              <w:t>Section 906 of the Sarbanes-Oxley Act of 2002.</w:t>
            </w:r>
          </w:p>
        </w:tc>
      </w:tr>
      <w:tr>
        <w:trPr>
          <w:trHeight w:val="20"/>
        </w:trPr>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4680" w:type="dxa"/>
            <w:vAlign w:val="bottom"/>
            <w:gridSpan w:val="11"/>
          </w:tcPr>
          <w:p>
            <w:pPr>
              <w:spacing w:after="0" w:line="20" w:lineRule="exact"/>
              <w:rPr>
                <w:sz w:val="1"/>
                <w:szCs w:val="1"/>
                <w:color w:val="auto"/>
              </w:rPr>
            </w:pPr>
          </w:p>
        </w:tc>
      </w:tr>
      <w:tr>
        <w:trPr>
          <w:trHeight w:val="285"/>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480" w:type="dxa"/>
            <w:vAlign w:val="bottom"/>
            <w:gridSpan w:val="12"/>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w:t>
            </w:r>
          </w:p>
        </w:tc>
      </w:tr>
      <w:tr>
        <w:trPr>
          <w:trHeight w:val="239"/>
        </w:trPr>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gridSpan w:val="12"/>
          </w:tcPr>
          <w:p>
            <w:pPr>
              <w:spacing w:after="0"/>
              <w:rPr>
                <w:sz w:val="20"/>
                <w:szCs w:val="20"/>
                <w:color w:val="auto"/>
              </w:rPr>
            </w:pPr>
            <w:r>
              <w:rPr>
                <w:rFonts w:ascii="Arial" w:cs="Arial" w:eastAsia="Arial" w:hAnsi="Arial"/>
                <w:sz w:val="18"/>
                <w:szCs w:val="18"/>
                <w:color w:val="auto"/>
              </w:rPr>
              <w:t>because XBRL tags are embedded within the Inline XBRL document.</w:t>
            </w:r>
          </w:p>
        </w:tc>
      </w:tr>
      <w:tr>
        <w:trPr>
          <w:trHeight w:val="283"/>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48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48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48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3"/>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48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48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84"/>
        </w:trPr>
        <w:tc>
          <w:tcPr>
            <w:tcW w:w="1240" w:type="dxa"/>
            <w:vAlign w:val="bottom"/>
          </w:tcPr>
          <w:p>
            <w:pPr>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4"/>
                <w:szCs w:val="24"/>
                <w:color w:val="auto"/>
              </w:rPr>
            </w:pPr>
          </w:p>
        </w:tc>
        <w:tc>
          <w:tcPr>
            <w:tcW w:w="8480" w:type="dxa"/>
            <w:vAlign w:val="bottom"/>
            <w:gridSpan w:val="1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17"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Filed herewith.</w:t>
      </w:r>
    </w:p>
    <w:p>
      <w:pPr>
        <w:spacing w:after="0" w:line="116" w:lineRule="exact"/>
        <w:rPr>
          <w:sz w:val="20"/>
          <w:szCs w:val="20"/>
          <w:color w:val="auto"/>
        </w:rPr>
      </w:pPr>
    </w:p>
    <w:p>
      <w:pPr>
        <w:ind w:left="660" w:hanging="652"/>
        <w:spacing w:after="0" w:line="266" w:lineRule="auto"/>
        <w:tabs>
          <w:tab w:leader="none" w:pos="309"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certifications furnished in Exhibits 32.1 and 32.2 hereto are deemed to accompany this Quarterly Report on Form 10-Q and will not be deemed "filed" for purposes of Section 18 of the Securities Exchange Act of 1934, as amended, except to the extent that the registrant specifically incorporates them by reference.</w:t>
      </w: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SIGNATURES</w:t>
      </w:r>
    </w:p>
    <w:p>
      <w:pPr>
        <w:spacing w:after="0" w:line="12" w:lineRule="exact"/>
        <w:rPr>
          <w:sz w:val="20"/>
          <w:szCs w:val="20"/>
          <w:color w:val="auto"/>
        </w:rPr>
      </w:pPr>
    </w:p>
    <w:p>
      <w:pPr>
        <w:ind w:right="320"/>
        <w:spacing w:after="0" w:line="277"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7"/>
          <w:szCs w:val="17"/>
          <w:b w:val="1"/>
          <w:bCs w:val="1"/>
          <w:color w:val="auto"/>
        </w:rPr>
        <w:t>.</w:t>
      </w:r>
    </w:p>
    <w:p>
      <w:pPr>
        <w:spacing w:after="0" w:line="23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RALLYBIO CORPORATION</w:t>
      </w:r>
    </w:p>
    <w:p>
      <w:pPr>
        <w:spacing w:after="0" w:line="347" w:lineRule="exact"/>
        <w:rPr>
          <w:sz w:val="20"/>
          <w:szCs w:val="20"/>
          <w:color w:val="auto"/>
        </w:rPr>
      </w:pPr>
    </w:p>
    <w:p>
      <w:pPr>
        <w:ind w:left="20"/>
        <w:spacing w:after="0"/>
        <w:tabs>
          <w:tab w:leader="none" w:pos="5280" w:val="left"/>
          <w:tab w:leader="none" w:pos="5960" w:val="left"/>
        </w:tabs>
        <w:rPr>
          <w:sz w:val="20"/>
          <w:szCs w:val="20"/>
          <w:color w:val="auto"/>
        </w:rPr>
      </w:pPr>
      <w:r>
        <w:rPr>
          <w:rFonts w:ascii="Arial" w:cs="Arial" w:eastAsia="Arial" w:hAnsi="Arial"/>
          <w:sz w:val="18"/>
          <w:szCs w:val="18"/>
          <w:color w:val="auto"/>
        </w:rPr>
        <w:t>Date: October 27,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Uden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34925</wp:posOffset>
            </wp:positionV>
            <wp:extent cx="33515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0" w:lineRule="exact"/>
        <w:rPr>
          <w:sz w:val="20"/>
          <w:szCs w:val="20"/>
          <w:color w:val="auto"/>
        </w:rPr>
      </w:pPr>
    </w:p>
    <w:p>
      <w:pPr>
        <w:ind w:left="5980"/>
        <w:spacing w:after="0"/>
        <w:rPr>
          <w:sz w:val="20"/>
          <w:szCs w:val="20"/>
          <w:color w:val="auto"/>
        </w:rPr>
      </w:pPr>
      <w:r>
        <w:rPr>
          <w:rFonts w:ascii="Arial" w:cs="Arial" w:eastAsia="Arial" w:hAnsi="Arial"/>
          <w:sz w:val="14"/>
          <w:szCs w:val="14"/>
          <w:b w:val="1"/>
          <w:bCs w:val="1"/>
          <w:color w:val="auto"/>
        </w:rPr>
        <w:t>Stephen Uden, M.D.</w:t>
      </w:r>
    </w:p>
    <w:p>
      <w:pPr>
        <w:spacing w:after="0" w:line="7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President and Director (Principal</w:t>
      </w:r>
    </w:p>
    <w:p>
      <w:pPr>
        <w:spacing w:after="0" w:line="2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Officer)</w:t>
      </w:r>
    </w:p>
    <w:p>
      <w:pPr>
        <w:spacing w:after="0" w:line="383" w:lineRule="exact"/>
        <w:rPr>
          <w:sz w:val="20"/>
          <w:szCs w:val="20"/>
          <w:color w:val="auto"/>
        </w:rPr>
      </w:pPr>
    </w:p>
    <w:p>
      <w:pPr>
        <w:ind w:left="20"/>
        <w:spacing w:after="0"/>
        <w:tabs>
          <w:tab w:leader="none" w:pos="5280" w:val="left"/>
          <w:tab w:leader="none" w:pos="5960" w:val="left"/>
        </w:tabs>
        <w:rPr>
          <w:sz w:val="20"/>
          <w:szCs w:val="20"/>
          <w:color w:val="auto"/>
        </w:rPr>
      </w:pPr>
      <w:r>
        <w:rPr>
          <w:rFonts w:ascii="Arial" w:cs="Arial" w:eastAsia="Arial" w:hAnsi="Arial"/>
          <w:sz w:val="18"/>
          <w:szCs w:val="18"/>
          <w:color w:val="auto"/>
        </w:rPr>
        <w:t>Date: October 27,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Jonathan I. Lieber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34925</wp:posOffset>
            </wp:positionV>
            <wp:extent cx="33515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0" w:lineRule="exact"/>
        <w:rPr>
          <w:sz w:val="20"/>
          <w:szCs w:val="20"/>
          <w:color w:val="auto"/>
        </w:rPr>
      </w:pPr>
    </w:p>
    <w:p>
      <w:pPr>
        <w:ind w:left="5980"/>
        <w:spacing w:after="0"/>
        <w:rPr>
          <w:sz w:val="20"/>
          <w:szCs w:val="20"/>
          <w:color w:val="auto"/>
        </w:rPr>
      </w:pPr>
      <w:r>
        <w:rPr>
          <w:rFonts w:ascii="Arial" w:cs="Arial" w:eastAsia="Arial" w:hAnsi="Arial"/>
          <w:sz w:val="14"/>
          <w:szCs w:val="14"/>
          <w:b w:val="1"/>
          <w:bCs w:val="1"/>
          <w:color w:val="auto"/>
        </w:rPr>
        <w:t>Jonathan I. Lieber</w:t>
      </w:r>
    </w:p>
    <w:p>
      <w:pPr>
        <w:spacing w:after="0" w:line="72"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Chief Financial Officer and Treasurer (Principal Accounting and</w:t>
      </w:r>
    </w:p>
    <w:p>
      <w:pPr>
        <w:spacing w:after="0" w:line="3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320" w:top="121" w:right="57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Stephen Uden, certify that:</w:t>
      </w:r>
    </w:p>
    <w:p>
      <w:pPr>
        <w:spacing w:after="0" w:line="225" w:lineRule="exact"/>
        <w:rPr>
          <w:sz w:val="20"/>
          <w:szCs w:val="20"/>
          <w:color w:val="auto"/>
        </w:rPr>
      </w:pPr>
    </w:p>
    <w:p>
      <w:pPr>
        <w:ind w:left="640" w:hanging="632"/>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Rallybio Corporation;</w:t>
      </w:r>
    </w:p>
    <w:p>
      <w:pPr>
        <w:spacing w:after="0" w:line="225"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660" w:right="20" w:hanging="652"/>
        <w:spacing w:after="0" w:line="268"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ind w:left="20"/>
        <w:spacing w:after="0"/>
        <w:tabs>
          <w:tab w:leader="none" w:pos="5280" w:val="left"/>
          <w:tab w:leader="none" w:pos="7880" w:val="left"/>
        </w:tabs>
        <w:rPr>
          <w:sz w:val="20"/>
          <w:szCs w:val="20"/>
          <w:color w:val="auto"/>
        </w:rPr>
      </w:pPr>
      <w:r>
        <w:rPr>
          <w:rFonts w:ascii="Arial" w:cs="Arial" w:eastAsia="Arial" w:hAnsi="Arial"/>
          <w:sz w:val="18"/>
          <w:szCs w:val="18"/>
          <w:color w:val="auto"/>
        </w:rPr>
        <w:t>Date: October 27,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Uden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17780</wp:posOffset>
            </wp:positionV>
            <wp:extent cx="33515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Stephen Uden M.D.</w:t>
      </w:r>
    </w:p>
    <w:p>
      <w:pPr>
        <w:spacing w:after="0" w:line="4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Executive Officer, President and Director</w:t>
      </w:r>
    </w:p>
    <w:p>
      <w:pPr>
        <w:spacing w:after="0" w:line="36"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147"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Jonathan I. Lieber, certify that:</w:t>
      </w:r>
    </w:p>
    <w:p>
      <w:pPr>
        <w:spacing w:after="0" w:line="225" w:lineRule="exact"/>
        <w:rPr>
          <w:sz w:val="20"/>
          <w:szCs w:val="20"/>
          <w:color w:val="auto"/>
        </w:rPr>
      </w:pPr>
    </w:p>
    <w:p>
      <w:pPr>
        <w:ind w:left="640" w:hanging="632"/>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Rallybio Corporation;</w:t>
      </w:r>
    </w:p>
    <w:p>
      <w:pPr>
        <w:spacing w:after="0" w:line="225"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660" w:right="20" w:hanging="652"/>
        <w:spacing w:after="0" w:line="268" w:lineRule="auto"/>
        <w:tabs>
          <w:tab w:leader="none" w:pos="6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ind w:left="20"/>
        <w:spacing w:after="0"/>
        <w:tabs>
          <w:tab w:leader="none" w:pos="5280" w:val="left"/>
          <w:tab w:leader="none" w:pos="7740" w:val="left"/>
        </w:tabs>
        <w:rPr>
          <w:sz w:val="20"/>
          <w:szCs w:val="20"/>
          <w:color w:val="auto"/>
        </w:rPr>
      </w:pPr>
      <w:r>
        <w:rPr>
          <w:rFonts w:ascii="Arial" w:cs="Arial" w:eastAsia="Arial" w:hAnsi="Arial"/>
          <w:sz w:val="18"/>
          <w:szCs w:val="18"/>
          <w:color w:val="auto"/>
        </w:rPr>
        <w:t>Date: October 27,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Jonathan I. Lieber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17780</wp:posOffset>
            </wp:positionV>
            <wp:extent cx="33515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Jonathan I. Lieber</w:t>
      </w:r>
    </w:p>
    <w:p>
      <w:pPr>
        <w:spacing w:after="0" w:line="4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Financial Officer</w:t>
      </w:r>
    </w:p>
    <w:p>
      <w:pPr>
        <w:spacing w:after="0" w:line="36"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147"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In connection with the Quarterly Report of Rallybio Corporation (the “Company”) on Form 10-Q for the period ending September 30, 2026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860" w:hanging="644"/>
        <w:spacing w:after="0" w:line="287" w:lineRule="auto"/>
        <w:tabs>
          <w:tab w:leader="none" w:pos="129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7" w:lineRule="exact"/>
        <w:rPr>
          <w:sz w:val="20"/>
          <w:szCs w:val="20"/>
          <w:color w:val="auto"/>
        </w:rPr>
      </w:pPr>
    </w:p>
    <w:p>
      <w:pPr>
        <w:ind w:left="20"/>
        <w:spacing w:after="0"/>
        <w:tabs>
          <w:tab w:leader="none" w:pos="5280" w:val="left"/>
          <w:tab w:leader="none" w:pos="7880" w:val="left"/>
        </w:tabs>
        <w:rPr>
          <w:sz w:val="20"/>
          <w:szCs w:val="20"/>
          <w:color w:val="auto"/>
        </w:rPr>
      </w:pPr>
      <w:r>
        <w:rPr>
          <w:rFonts w:ascii="Arial" w:cs="Arial" w:eastAsia="Arial" w:hAnsi="Arial"/>
          <w:sz w:val="18"/>
          <w:szCs w:val="18"/>
          <w:color w:val="auto"/>
        </w:rPr>
        <w:t>Date: October 27,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Uden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17780</wp:posOffset>
            </wp:positionV>
            <wp:extent cx="33515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Stephen Uden, M.D.</w:t>
      </w:r>
    </w:p>
    <w:p>
      <w:pPr>
        <w:spacing w:after="0" w:line="4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Executive Officer, President and Director</w:t>
      </w:r>
    </w:p>
    <w:p>
      <w:pPr>
        <w:spacing w:after="0" w:line="36"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147"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In connection with the Quarterly Report of Rallybio Corporation (the “Company”) on Form 10-Q for the period ending September 30, 2026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860" w:hanging="644"/>
        <w:spacing w:after="0" w:line="287" w:lineRule="auto"/>
        <w:tabs>
          <w:tab w:leader="none" w:pos="129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7" w:lineRule="exact"/>
        <w:rPr>
          <w:sz w:val="20"/>
          <w:szCs w:val="20"/>
          <w:color w:val="auto"/>
        </w:rPr>
      </w:pPr>
    </w:p>
    <w:p>
      <w:pPr>
        <w:ind w:left="20"/>
        <w:spacing w:after="0"/>
        <w:tabs>
          <w:tab w:leader="none" w:pos="5280" w:val="left"/>
          <w:tab w:leader="none" w:pos="7740" w:val="left"/>
        </w:tabs>
        <w:rPr>
          <w:sz w:val="20"/>
          <w:szCs w:val="20"/>
          <w:color w:val="auto"/>
        </w:rPr>
      </w:pPr>
      <w:r>
        <w:rPr>
          <w:rFonts w:ascii="Arial" w:cs="Arial" w:eastAsia="Arial" w:hAnsi="Arial"/>
          <w:sz w:val="18"/>
          <w:szCs w:val="18"/>
          <w:color w:val="auto"/>
        </w:rPr>
        <w:t>Date: October 27,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Jonathan I. Lieber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17780</wp:posOffset>
            </wp:positionV>
            <wp:extent cx="33515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Jonathan I. Lieber</w:t>
      </w:r>
    </w:p>
    <w:p>
      <w:pPr>
        <w:spacing w:after="0" w:line="4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Financial Officer</w:t>
      </w:r>
    </w:p>
    <w:p>
      <w:pPr>
        <w:spacing w:after="0" w:line="36"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C3DBD3D"/>
    <w:multiLevelType w:val="hybridMultilevel"/>
    <w:lvl w:ilvl="0">
      <w:lvlJc w:val="left"/>
      <w:lvlText w:val="x"/>
      <w:numFmt w:val="bullet"/>
      <w:start w:val="1"/>
    </w:lvl>
  </w:abstractNum>
  <w:abstractNum w:abstractNumId="1">
    <w:nsid w:val="737B8DDC"/>
    <w:multiLevelType w:val="hybridMultilevel"/>
    <w:lvl w:ilvl="0">
      <w:lvlJc w:val="left"/>
      <w:lvlText w:val="o"/>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13" Type="http://schemas.openxmlformats.org/officeDocument/2006/relationships/hyperlink" Target="https://www.sec.gov/Archives/edgar/data/1739410/000119312526249790/d19106dex21.htm" TargetMode="External"/><Relationship Id="rId114" Type="http://schemas.openxmlformats.org/officeDocument/2006/relationships/hyperlink" Target="https://www.sec.gov/Archives/edgar/data/1739410/000119312526386511/d9684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2026-10-27T07:17:37Z</dcterms:created>
  <dcterms:modified xsi:type="dcterms:W3CDTF">2026-10-27T07:17:37Z</dcterms:modified>
</cp:coreProperties>
</file>