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6520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65201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960" w:type="dxa"/>
            <w:vAlign w:val="bottom"/>
            <w:gridSpan w:val="3"/>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Liu Hui</w:t>
              </w:r>
            </w:hyperlink>
          </w:p>
        </w:tc>
        <w:tc>
          <w:tcPr>
            <w:tcW w:w="15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Rallybio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RLYB</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960" w:type="dxa"/>
            <w:vAlign w:val="bottom"/>
            <w:gridSpan w:val="3"/>
            <w:vMerge w:val="continue"/>
          </w:tcPr>
          <w:p>
            <w:pPr>
              <w:spacing w:after="0"/>
              <w:rPr>
                <w:sz w:val="6"/>
                <w:szCs w:val="6"/>
                <w:color w:val="auto"/>
              </w:rPr>
            </w:pPr>
          </w:p>
        </w:tc>
        <w:tc>
          <w:tcPr>
            <w:tcW w:w="15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60" w:type="dxa"/>
            <w:vAlign w:val="bottom"/>
            <w:tcBorders>
              <w:bottom w:val="single" w:sz="8" w:color="0000EE"/>
            </w:tcBorders>
          </w:tcPr>
          <w:p>
            <w:pPr>
              <w:spacing w:after="0"/>
              <w:rPr>
                <w:sz w:val="6"/>
                <w:szCs w:val="6"/>
                <w:color w:val="auto"/>
              </w:rPr>
            </w:pPr>
          </w:p>
        </w:tc>
        <w:tc>
          <w:tcPr>
            <w:tcW w:w="26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960" w:type="dxa"/>
            <w:vAlign w:val="bottom"/>
            <w:gridSpan w:val="3"/>
            <w:vMerge w:val="continue"/>
          </w:tcPr>
          <w:p>
            <w:pPr>
              <w:spacing w:after="0"/>
              <w:rPr>
                <w:sz w:val="5"/>
                <w:szCs w:val="5"/>
                <w:color w:val="auto"/>
              </w:rPr>
            </w:pPr>
          </w:p>
        </w:tc>
        <w:tc>
          <w:tcPr>
            <w:tcW w:w="15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3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300" w:type="dxa"/>
            <w:vAlign w:val="bottom"/>
            <w:tcBorders>
              <w:top w:val="single" w:sz="8" w:color="EEEEEE"/>
            </w:tcBorders>
          </w:tcPr>
          <w:p>
            <w:pPr>
              <w:spacing w:after="0"/>
              <w:rPr>
                <w:sz w:val="2"/>
                <w:szCs w:val="2"/>
                <w:color w:val="auto"/>
              </w:rPr>
            </w:pPr>
          </w:p>
        </w:tc>
        <w:tc>
          <w:tcPr>
            <w:tcW w:w="150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96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500" w:type="dxa"/>
            <w:vAlign w:val="bottom"/>
            <w:vMerge w:val="restart"/>
          </w:tcPr>
          <w:p>
            <w:pPr>
              <w:ind w:left="28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960" w:type="dxa"/>
            <w:vAlign w:val="bottom"/>
            <w:gridSpan w:val="3"/>
            <w:vMerge w:val="continue"/>
          </w:tcPr>
          <w:p>
            <w:pPr>
              <w:spacing w:after="0"/>
              <w:rPr>
                <w:sz w:val="7"/>
                <w:szCs w:val="7"/>
                <w:color w:val="auto"/>
              </w:rPr>
            </w:pPr>
          </w:p>
        </w:tc>
        <w:tc>
          <w:tcPr>
            <w:tcW w:w="150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3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05/13/2025</w:t>
            </w:r>
          </w:p>
        </w:tc>
        <w:tc>
          <w:tcPr>
            <w:tcW w:w="26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w w:val="99"/>
              </w:rPr>
              <w:t>C/O RALLYBIO CORPORATION</w:t>
            </w:r>
          </w:p>
        </w:tc>
        <w:tc>
          <w:tcPr>
            <w:tcW w:w="1200" w:type="dxa"/>
            <w:vAlign w:val="bottom"/>
          </w:tcPr>
          <w:p>
            <w:pPr>
              <w:spacing w:after="0"/>
              <w:rPr>
                <w:sz w:val="10"/>
                <w:szCs w:val="10"/>
                <w:color w:val="auto"/>
              </w:rPr>
            </w:pPr>
          </w:p>
        </w:tc>
        <w:tc>
          <w:tcPr>
            <w:tcW w:w="1320" w:type="dxa"/>
            <w:vAlign w:val="bottom"/>
            <w:gridSpan w:val="3"/>
            <w:vMerge w:val="continue"/>
          </w:tcPr>
          <w:p>
            <w:pPr>
              <w:spacing w:after="0"/>
              <w:rPr>
                <w:sz w:val="10"/>
                <w:szCs w:val="10"/>
                <w:color w:val="auto"/>
              </w:rPr>
            </w:pPr>
          </w:p>
        </w:tc>
        <w:tc>
          <w:tcPr>
            <w:tcW w:w="26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234 CHURCH STREET, SUITE 1020</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tcPr>
          <w:p>
            <w:pPr>
              <w:spacing w:after="0"/>
              <w:rPr>
                <w:sz w:val="11"/>
                <w:szCs w:val="11"/>
                <w:color w:val="auto"/>
              </w:rPr>
            </w:pPr>
          </w:p>
        </w:tc>
        <w:tc>
          <w:tcPr>
            <w:tcW w:w="26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HAVEN</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CT</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06510</w:t>
            </w:r>
          </w:p>
        </w:tc>
      </w:tr>
      <w:tr>
        <w:trPr>
          <w:trHeight w:val="149"/>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28,500</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ind w:left="28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0.3</w:t>
            </w:r>
          </w:p>
        </w:tc>
        <w:tc>
          <w:tcPr>
            <w:tcW w:w="1080" w:type="dxa"/>
            <w:vAlign w:val="bottom"/>
          </w:tcPr>
          <w:p>
            <w:pPr>
              <w:jc w:val="right"/>
              <w:ind w:right="180"/>
              <w:spacing w:after="0" w:line="129" w:lineRule="exact"/>
              <w:rPr>
                <w:sz w:val="20"/>
                <w:szCs w:val="20"/>
                <w:color w:val="auto"/>
              </w:rPr>
            </w:pPr>
            <w:r>
              <w:rPr>
                <w:rFonts w:ascii="Times New Roman" w:cs="Times New Roman" w:eastAsia="Times New Roman" w:hAnsi="Times New Roman"/>
                <w:sz w:val="13"/>
                <w:szCs w:val="13"/>
                <w:color w:val="0000FF"/>
              </w:rPr>
              <w:t>05/13/2025</w:t>
            </w:r>
          </w:p>
        </w:tc>
        <w:tc>
          <w:tcPr>
            <w:tcW w:w="110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line="129" w:lineRule="exact"/>
              <w:rPr>
                <w:sz w:val="20"/>
                <w:szCs w:val="20"/>
                <w:color w:val="auto"/>
              </w:rPr>
            </w:pPr>
            <w:r>
              <w:rPr>
                <w:rFonts w:ascii="Times New Roman" w:cs="Times New Roman" w:eastAsia="Times New Roman" w:hAnsi="Times New Roman"/>
                <w:sz w:val="13"/>
                <w:szCs w:val="13"/>
                <w:color w:val="0000FF"/>
              </w:rPr>
              <w:t>28,500</w:t>
            </w:r>
          </w:p>
        </w:tc>
        <w:tc>
          <w:tcPr>
            <w:tcW w:w="2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05/13/2035</w:t>
            </w:r>
          </w:p>
        </w:tc>
        <w:tc>
          <w:tcPr>
            <w:tcW w:w="6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tcPr>
          <w:p>
            <w:pPr>
              <w:ind w:left="28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line="129" w:lineRule="exact"/>
              <w:rPr>
                <w:sz w:val="20"/>
                <w:szCs w:val="20"/>
                <w:color w:val="auto"/>
              </w:rPr>
            </w:pPr>
            <w:r>
              <w:rPr>
                <w:rFonts w:ascii="Times New Roman" w:cs="Times New Roman" w:eastAsia="Times New Roman" w:hAnsi="Times New Roman"/>
                <w:sz w:val="13"/>
                <w:szCs w:val="13"/>
                <w:color w:val="0000FF"/>
              </w:rPr>
              <w:t>28,500</w:t>
            </w:r>
          </w:p>
        </w:tc>
        <w:tc>
          <w:tcPr>
            <w:tcW w:w="72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 option was granted under the Company's 2021 Equity Incentive Plan. The option vests on the earlier of May 13, 2026 or the date of the Company's 2026 Annual Meeting of Stockholders.</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By: /s/ Michael Greco,</w:t>
            </w:r>
          </w:p>
        </w:tc>
        <w:tc>
          <w:tcPr>
            <w:tcW w:w="68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05/15/2025</w:t>
            </w:r>
          </w:p>
        </w:tc>
        <w:tc>
          <w:tcPr>
            <w:tcW w:w="0" w:type="dxa"/>
            <w:vAlign w:val="bottom"/>
          </w:tcPr>
          <w:p>
            <w:pPr>
              <w:spacing w:after="0"/>
              <w:rPr>
                <w:sz w:val="1"/>
                <w:szCs w:val="1"/>
                <w:color w:val="auto"/>
              </w:rPr>
            </w:pPr>
          </w:p>
        </w:tc>
      </w:tr>
      <w:tr>
        <w:trPr>
          <w:trHeight w:val="88"/>
        </w:trPr>
        <w:tc>
          <w:tcPr>
            <w:tcW w:w="112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Attorney-in-Fact</w:t>
            </w:r>
          </w:p>
        </w:tc>
        <w:tc>
          <w:tcPr>
            <w:tcW w:w="108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120" w:type="dxa"/>
            <w:vAlign w:val="bottom"/>
            <w:tcBorders>
              <w:bottom w:val="single" w:sz="8" w:color="auto"/>
            </w:tcBorders>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90518" TargetMode="External"/><Relationship Id="rId14" Type="http://schemas.openxmlformats.org/officeDocument/2006/relationships/hyperlink" Target="http://www.sec.gov/cgi-bin/browse-edgar?action=getcompany&amp;CIK=00017394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2025-05-15T16:13:38Z</dcterms:created>
  <dcterms:modified xsi:type="dcterms:W3CDTF">2025-05-15T16:13:38Z</dcterms:modified>
</cp:coreProperties>
</file>