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RALLYBIO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91"/>
        <w:gridCol w:w="8214"/>
      </w:tblGrid>
      <w:tr>
        <w:trPr/>
        <w:tc>
          <w:tcPr>
            <w:tcW w:w="1991" w:type="dxa"/>
            <w:tcBorders/>
            <w:vAlign w:val="center"/>
          </w:tcPr>
          <w:p>
            <w:pPr>
              <w:pStyle w:val="TableContents"/>
              <w:bidi w:val="0"/>
              <w:spacing w:before="0" w:after="283"/>
              <w:jc w:val="left"/>
              <w:rPr/>
            </w:pPr>
            <w:r>
              <w:rPr/>
              <w:t>1</w:t>
            </w:r>
          </w:p>
        </w:tc>
        <w:tc>
          <w:tcPr>
            <w:tcW w:w="821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Nantahala Capital Management, LLC</w:t>
            </w:r>
          </w:p>
        </w:tc>
      </w:tr>
      <w:tr>
        <w:trPr/>
        <w:tc>
          <w:tcPr>
            <w:tcW w:w="1991" w:type="dxa"/>
            <w:tcBorders/>
            <w:vAlign w:val="center"/>
          </w:tcPr>
          <w:p>
            <w:pPr>
              <w:pStyle w:val="TableContents"/>
              <w:bidi w:val="0"/>
              <w:spacing w:before="0" w:after="283"/>
              <w:jc w:val="left"/>
              <w:rPr/>
            </w:pPr>
            <w:r>
              <w:rPr/>
              <w:t>2</w:t>
            </w:r>
          </w:p>
        </w:tc>
        <w:tc>
          <w:tcPr>
            <w:tcW w:w="82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91" w:type="dxa"/>
            <w:tcBorders/>
            <w:vAlign w:val="center"/>
          </w:tcPr>
          <w:p>
            <w:pPr>
              <w:pStyle w:val="TableContents"/>
              <w:bidi w:val="0"/>
              <w:spacing w:before="0" w:after="283"/>
              <w:jc w:val="left"/>
              <w:rPr/>
            </w:pPr>
            <w:r>
              <w:rPr/>
              <w:t>3</w:t>
            </w:r>
          </w:p>
        </w:tc>
        <w:tc>
          <w:tcPr>
            <w:tcW w:w="8214" w:type="dxa"/>
            <w:tcBorders/>
            <w:vAlign w:val="center"/>
          </w:tcPr>
          <w:p>
            <w:pPr>
              <w:pStyle w:val="TableContents"/>
              <w:bidi w:val="0"/>
              <w:spacing w:before="0" w:after="283"/>
              <w:jc w:val="left"/>
              <w:rPr/>
            </w:pPr>
            <w:r>
              <w:rPr/>
              <w:t>Sec Use Only</w:t>
            </w:r>
          </w:p>
        </w:tc>
      </w:tr>
      <w:tr>
        <w:trPr/>
        <w:tc>
          <w:tcPr>
            <w:tcW w:w="1991" w:type="dxa"/>
            <w:tcBorders/>
            <w:vAlign w:val="center"/>
          </w:tcPr>
          <w:p>
            <w:pPr>
              <w:pStyle w:val="TableContents"/>
              <w:bidi w:val="0"/>
              <w:spacing w:before="0" w:after="283"/>
              <w:jc w:val="left"/>
              <w:rPr/>
            </w:pPr>
            <w:r>
              <w:rPr/>
              <w:t>4</w:t>
            </w:r>
          </w:p>
        </w:tc>
        <w:tc>
          <w:tcPr>
            <w:tcW w:w="82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199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300,635.00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300,635.00</w:t>
                  </w:r>
                </w:p>
              </w:tc>
            </w:tr>
          </w:tbl>
          <w:p>
            <w:pPr>
              <w:pStyle w:val="TableContents"/>
              <w:bidi w:val="0"/>
              <w:spacing w:before="0" w:after="283"/>
              <w:jc w:val="left"/>
              <w:rPr/>
            </w:pPr>
            <w:r>
              <w:rPr/>
            </w:r>
          </w:p>
        </w:tc>
        <w:tc>
          <w:tcPr>
            <w:tcW w:w="8214" w:type="dxa"/>
            <w:tcBorders/>
            <w:vAlign w:val="center"/>
          </w:tcPr>
          <w:p>
            <w:pPr>
              <w:pStyle w:val="TableContents"/>
              <w:bidi w:val="0"/>
              <w:spacing w:before="0" w:after="283"/>
              <w:jc w:val="left"/>
              <w:rPr>
                <w:sz w:val="4"/>
                <w:szCs w:val="4"/>
              </w:rPr>
            </w:pPr>
            <w:r>
              <w:rPr>
                <w:sz w:val="4"/>
                <w:szCs w:val="4"/>
              </w:rPr>
            </w:r>
          </w:p>
        </w:tc>
      </w:tr>
      <w:tr>
        <w:trPr/>
        <w:tc>
          <w:tcPr>
            <w:tcW w:w="1991" w:type="dxa"/>
            <w:tcBorders/>
            <w:vAlign w:val="center"/>
          </w:tcPr>
          <w:p>
            <w:pPr>
              <w:pStyle w:val="TableContents"/>
              <w:bidi w:val="0"/>
              <w:spacing w:before="0" w:after="283"/>
              <w:jc w:val="left"/>
              <w:rPr/>
            </w:pPr>
            <w:r>
              <w:rPr/>
              <w:t>9</w:t>
            </w:r>
          </w:p>
        </w:tc>
        <w:tc>
          <w:tcPr>
            <w:tcW w:w="82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300,635.00</w:t>
            </w:r>
          </w:p>
        </w:tc>
      </w:tr>
      <w:tr>
        <w:trPr/>
        <w:tc>
          <w:tcPr>
            <w:tcW w:w="1991" w:type="dxa"/>
            <w:tcBorders/>
            <w:vAlign w:val="center"/>
          </w:tcPr>
          <w:p>
            <w:pPr>
              <w:pStyle w:val="TableContents"/>
              <w:bidi w:val="0"/>
              <w:spacing w:before="0" w:after="283"/>
              <w:jc w:val="left"/>
              <w:rPr/>
            </w:pPr>
            <w:r>
              <w:rPr/>
              <w:t>10</w:t>
            </w:r>
          </w:p>
        </w:tc>
        <w:tc>
          <w:tcPr>
            <w:tcW w:w="821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91" w:type="dxa"/>
            <w:tcBorders/>
            <w:vAlign w:val="center"/>
          </w:tcPr>
          <w:p>
            <w:pPr>
              <w:pStyle w:val="TableContents"/>
              <w:bidi w:val="0"/>
              <w:spacing w:before="0" w:after="283"/>
              <w:jc w:val="left"/>
              <w:rPr/>
            </w:pPr>
            <w:r>
              <w:rPr/>
              <w:t>11</w:t>
            </w:r>
          </w:p>
        </w:tc>
        <w:tc>
          <w:tcPr>
            <w:tcW w:w="821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5.68 % </w:t>
            </w:r>
          </w:p>
        </w:tc>
      </w:tr>
      <w:tr>
        <w:trPr/>
        <w:tc>
          <w:tcPr>
            <w:tcW w:w="1991" w:type="dxa"/>
            <w:tcBorders/>
            <w:vAlign w:val="center"/>
          </w:tcPr>
          <w:p>
            <w:pPr>
              <w:pStyle w:val="TableContents"/>
              <w:bidi w:val="0"/>
              <w:spacing w:before="0" w:after="283"/>
              <w:jc w:val="left"/>
              <w:rPr/>
            </w:pPr>
            <w:r>
              <w:rPr/>
              <w:t>12</w:t>
            </w:r>
          </w:p>
        </w:tc>
        <w:tc>
          <w:tcPr>
            <w:tcW w:w="82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Wilmot B. Harkey</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300,635.00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300,635.00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300,635.00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5.68 %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Daniel Mack</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300,635.00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300,635.00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300,635.00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5.68 %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78"/>
        <w:gridCol w:w="8972"/>
        <w:gridCol w:w="155"/>
      </w:tblGrid>
      <w:tr>
        <w:trPr/>
        <w:tc>
          <w:tcPr>
            <w:tcW w:w="1078" w:type="dxa"/>
            <w:tcBorders/>
            <w:vAlign w:val="center"/>
          </w:tcPr>
          <w:p>
            <w:pPr>
              <w:pStyle w:val="TableContents"/>
              <w:bidi w:val="0"/>
              <w:spacing w:before="0" w:after="283"/>
              <w:jc w:val="left"/>
              <w:rPr/>
            </w:pPr>
            <w:r>
              <w:rPr/>
              <w:t>Item 1.</w:t>
            </w:r>
          </w:p>
        </w:tc>
        <w:tc>
          <w:tcPr>
            <w:tcW w:w="897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(a)</w:t>
            </w:r>
          </w:p>
        </w:tc>
        <w:tc>
          <w:tcPr>
            <w:tcW w:w="8972" w:type="dxa"/>
            <w:tcBorders/>
            <w:vAlign w:val="center"/>
          </w:tcPr>
          <w:p>
            <w:pPr>
              <w:pStyle w:val="TableContents"/>
              <w:bidi w:val="0"/>
              <w:jc w:val="left"/>
              <w:rPr/>
            </w:pPr>
            <w:r>
              <w:rPr/>
              <w:t xml:space="preserve">Name of issuer: </w:t>
            </w:r>
          </w:p>
          <w:p>
            <w:pPr>
              <w:pStyle w:val="TableContents"/>
              <w:bidi w:val="0"/>
              <w:spacing w:before="0" w:after="0"/>
              <w:jc w:val="left"/>
              <w:rPr/>
            </w:pPr>
            <w:r>
              <w:rPr/>
              <w:t>RALLYBIO CORPORATION</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(b)</w:t>
            </w:r>
          </w:p>
        </w:tc>
        <w:tc>
          <w:tcPr>
            <w:tcW w:w="897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234 CHURCH STREET NEW HAVEN, CONNECTICUT, 06510</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Item 2.</w:t>
            </w:r>
          </w:p>
        </w:tc>
        <w:tc>
          <w:tcPr>
            <w:tcW w:w="897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(a)</w:t>
            </w:r>
          </w:p>
        </w:tc>
        <w:tc>
          <w:tcPr>
            <w:tcW w:w="8972"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Nantahala Capital Management, LLC ("Nantahala") (2) Wilmot B. Harkey (3) Daniel Mack (together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(b)</w:t>
            </w:r>
          </w:p>
        </w:tc>
        <w:tc>
          <w:tcPr>
            <w:tcW w:w="897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 Main St. 2nd Floor, New Canaan, Connecticut 06840</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(c)</w:t>
            </w:r>
          </w:p>
        </w:tc>
        <w:tc>
          <w:tcPr>
            <w:tcW w:w="8972" w:type="dxa"/>
            <w:tcBorders/>
            <w:vAlign w:val="center"/>
          </w:tcPr>
          <w:p>
            <w:pPr>
              <w:pStyle w:val="TableContents"/>
              <w:bidi w:val="0"/>
              <w:jc w:val="left"/>
              <w:rPr/>
            </w:pPr>
            <w:r>
              <w:rPr/>
              <w:t xml:space="preserve">Citizenship: </w:t>
            </w:r>
          </w:p>
          <w:p>
            <w:pPr>
              <w:pStyle w:val="TableContents"/>
              <w:bidi w:val="0"/>
              <w:spacing w:before="0" w:after="0"/>
              <w:jc w:val="left"/>
              <w:rPr/>
            </w:pPr>
            <w:r>
              <w:rPr/>
              <w:t>(1) Nantahala is a Massachusetts limited liability company. (2) Each of Messrs. Harkey and Mack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(d)</w:t>
            </w:r>
          </w:p>
        </w:tc>
        <w:tc>
          <w:tcPr>
            <w:tcW w:w="897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(e)</w:t>
            </w:r>
          </w:p>
        </w:tc>
        <w:tc>
          <w:tcPr>
            <w:tcW w:w="897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Item 3.</w:t>
            </w:r>
          </w:p>
        </w:tc>
        <w:tc>
          <w:tcPr>
            <w:tcW w:w="897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(a)</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(b)</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(c)</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(d)</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(e)</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(f)</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(g)</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(h)</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(i)</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(j)</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(k)</w:t>
            </w:r>
          </w:p>
        </w:tc>
        <w:tc>
          <w:tcPr>
            <w:tcW w:w="897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9127" w:type="dxa"/>
            <w:gridSpan w:val="2"/>
            <w:tcBorders/>
            <w:vAlign w:val="center"/>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Item 4.</w:t>
            </w:r>
          </w:p>
        </w:tc>
        <w:tc>
          <w:tcPr>
            <w:tcW w:w="897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(a)</w:t>
            </w:r>
          </w:p>
        </w:tc>
        <w:tc>
          <w:tcPr>
            <w:tcW w:w="897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March 31, 2026, Nantahala may be deemed to be the beneficial owner of 300,635 Shares held by funds and separately managed accounts under its control, and as the managing members of Nantahala, each of Messrs. Harkey and Mack may be deemed to be a beneficial owner of those Shares.</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(b)</w:t>
            </w:r>
          </w:p>
        </w:tc>
        <w:tc>
          <w:tcPr>
            <w:tcW w:w="897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March 31, 2026, each of the Reporting Persons may be deemed to be the beneficial owner of the following percentage of the total number of Shares outstanding: (1) Nantahala Capital Management, LLC ("Nantahala") : 5.68% (2) Wilmot B. Harkey: 5.68% (3) Daniel Mack: 5.68%  %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(c)</w:t>
            </w:r>
          </w:p>
        </w:tc>
        <w:tc>
          <w:tcPr>
            <w:tcW w:w="897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Nantahala Capital Management, LLC ("Nantahala") : 300,635 Shares. (2) Wilmot B. Harkey: 300,635 Shares. (3) Daniel Mack: 300,635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Nantahala Capital Management, LLC ("Nantahala") : 300,635 Shares. (2) Wilmot B. Harkey: 300,635 Shares. (3) Daniel Mack: 300,635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Item 5.</w:t>
            </w:r>
          </w:p>
        </w:tc>
        <w:tc>
          <w:tcPr>
            <w:tcW w:w="897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Item 6.</w:t>
            </w:r>
          </w:p>
        </w:tc>
        <w:tc>
          <w:tcPr>
            <w:tcW w:w="897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Item 7.</w:t>
            </w:r>
          </w:p>
        </w:tc>
        <w:tc>
          <w:tcPr>
            <w:tcW w:w="897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Each of Messrs. Harkey and Mack is filing this Schedule 13G as a control person in respect of shares beneficially owned by Nantahala, an investment adviser as described in ss. 240.13d-1(b)(1)(ii)(E). See Item 4(a).</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Item 8.</w:t>
            </w:r>
          </w:p>
        </w:tc>
        <w:tc>
          <w:tcPr>
            <w:tcW w:w="897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Item 9.</w:t>
            </w:r>
          </w:p>
        </w:tc>
        <w:tc>
          <w:tcPr>
            <w:tcW w:w="897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8" w:type="dxa"/>
            <w:tcBorders/>
            <w:vAlign w:val="center"/>
          </w:tcPr>
          <w:p>
            <w:pPr>
              <w:pStyle w:val="TableContents"/>
              <w:bidi w:val="0"/>
              <w:spacing w:before="0" w:after="283"/>
              <w:jc w:val="left"/>
              <w:rPr/>
            </w:pPr>
            <w:r>
              <w:rPr/>
              <w:t> </w:t>
            </w:r>
          </w:p>
        </w:tc>
        <w:tc>
          <w:tcPr>
            <w:tcW w:w="897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Nantahala Capital Management, LLC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Taki Vasilakis</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Taki Vasilakis / Chief Compliance Officer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Wilmot B. Harkey</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6"/>
        <w:gridCol w:w="4429"/>
      </w:tblGrid>
      <w:tr>
        <w:trPr/>
        <w:tc>
          <w:tcPr>
            <w:tcW w:w="57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/s/ Wilmot B. Harkey</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Wilmot B. Harkey</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29"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Daniel Mack</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4"/>
        <w:gridCol w:w="4461"/>
      </w:tblGrid>
      <w:tr>
        <w:trPr/>
        <w:tc>
          <w:tcPr>
            <w:tcW w:w="57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Daniel Mack</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Daniel Mack</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1281</Words>
  <Characters>6644</Characters>
  <CharactersWithSpaces>7875</CharactersWithSpaces>
  <Paragraphs>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