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Rallybio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376,573.00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376,573.00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376,573.00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376,573.00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376,573.00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7.12 %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376,573.00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376,573.00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7.12 %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5"/>
        <w:gridCol w:w="8895"/>
        <w:gridCol w:w="155"/>
      </w:tblGrid>
      <w:tr>
        <w:trPr/>
        <w:tc>
          <w:tcPr>
            <w:tcW w:w="1155" w:type="dxa"/>
            <w:tcBorders/>
            <w:vAlign w:val="center"/>
          </w:tcPr>
          <w:p>
            <w:pPr>
              <w:pStyle w:val="TableContents"/>
              <w:bidi w:val="0"/>
              <w:spacing w:before="0" w:after="283"/>
              <w:jc w:val="left"/>
              <w:rPr/>
            </w:pPr>
            <w:r>
              <w:rPr/>
              <w:t>Item 1.</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issuer: </w:t>
            </w:r>
          </w:p>
          <w:p>
            <w:pPr>
              <w:pStyle w:val="TableContents"/>
              <w:bidi w:val="0"/>
              <w:spacing w:before="0" w:after="0"/>
              <w:jc w:val="left"/>
              <w:rPr/>
            </w:pPr>
            <w:r>
              <w:rPr/>
              <w:t>Rallybio Corp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 Church Street, Suite 1020, New Haven, CT 06510</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2.</w:t>
            </w:r>
          </w:p>
        </w:tc>
        <w:tc>
          <w:tcPr>
            <w:tcW w:w="889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3.</w:t>
            </w:r>
          </w:p>
        </w:tc>
        <w:tc>
          <w:tcPr>
            <w:tcW w:w="889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(d)</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(e)</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(f)</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(g)</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(h)</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(j)</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(k)</w:t>
            </w:r>
          </w:p>
        </w:tc>
        <w:tc>
          <w:tcPr>
            <w:tcW w:w="8895"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9050"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4.</w:t>
            </w:r>
          </w:p>
        </w:tc>
        <w:tc>
          <w:tcPr>
            <w:tcW w:w="889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(a)</w:t>
            </w:r>
          </w:p>
        </w:tc>
        <w:tc>
          <w:tcPr>
            <w:tcW w:w="889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the 376,573 shares of common stock, par value $0.001 per share ("Shares"), reported herein, BAM may be deemed to exercise voting and investment power over such Shares held by ADMF and thus may be deemed to beneficially own such Shares. By virtue of its position as the General Partner of BAM, BAM GP may be deemed to exercise voting and investment power over the Shares held directly by ADMF and thus may be deemed to beneficially own such Shares. By virtue of its position as the Sole Member of BAM GP, BAM Holdings may be deemed to exercise voting and investment power over the Shares held directly by ADMF and thus may be deemed to beneficially own such Shares. By virtue of its position as the General Partner of BAM Holdings, Dames may be deemed to exercise voting and investment power over the Shares held directly by ADMF and thus may be deemed to beneficially own such Shares. By virtue of his position as the Managing Member of Dames, Mr. Balyasny may be deemed to exercise voting and investment power over the Shares held directly by ADMF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(b)</w:t>
            </w:r>
          </w:p>
        </w:tc>
        <w:tc>
          <w:tcPr>
            <w:tcW w:w="889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7.12% of the Shares, based on 5,289,675 Shares outstanding as of March 6, 2026, as reported in the Issuer's annual report on form 10-K filed with the Securities and Exchange Commission on March 16, 2026.  %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(c)</w:t>
            </w:r>
          </w:p>
        </w:tc>
        <w:tc>
          <w:tcPr>
            <w:tcW w:w="889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376,573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vote or to direct the vote of 376,573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5.</w:t>
            </w:r>
          </w:p>
        </w:tc>
        <w:tc>
          <w:tcPr>
            <w:tcW w:w="889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6.</w:t>
            </w:r>
          </w:p>
        </w:tc>
        <w:tc>
          <w:tcPr>
            <w:tcW w:w="889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 Cayman Islands exempted company that is an investment management client of BAM,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7.</w:t>
            </w:r>
          </w:p>
        </w:tc>
        <w:tc>
          <w:tcPr>
            <w:tcW w:w="889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8.</w:t>
            </w:r>
          </w:p>
        </w:tc>
        <w:tc>
          <w:tcPr>
            <w:tcW w:w="889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Item 9.</w:t>
            </w:r>
          </w:p>
        </w:tc>
        <w:tc>
          <w:tcPr>
            <w:tcW w:w="889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pPr>
            <w:r>
              <w:rPr/>
              <w:t> </w:t>
            </w:r>
          </w:p>
        </w:tc>
        <w:tc>
          <w:tcPr>
            <w:tcW w:w="889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1823</Words>
  <Characters>9185</Characters>
  <CharactersWithSpaces>10919</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